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830" w:rsidRPr="003C4830" w:rsidRDefault="003C4830" w:rsidP="003C4830">
      <w:pPr>
        <w:widowControl/>
        <w:spacing w:line="495" w:lineRule="atLeast"/>
        <w:jc w:val="center"/>
        <w:outlineLvl w:val="0"/>
        <w:rPr>
          <w:rFonts w:ascii="宋体" w:eastAsia="宋体" w:hAnsi="宋体" w:cs="宋体"/>
          <w:color w:val="172E6A"/>
          <w:kern w:val="36"/>
          <w:sz w:val="36"/>
          <w:szCs w:val="36"/>
        </w:rPr>
      </w:pPr>
      <w:r w:rsidRPr="003C4830">
        <w:rPr>
          <w:rFonts w:ascii="宋体" w:eastAsia="宋体" w:hAnsi="宋体" w:cs="宋体"/>
          <w:color w:val="172E6A"/>
          <w:kern w:val="36"/>
          <w:sz w:val="36"/>
          <w:szCs w:val="36"/>
        </w:rPr>
        <w:t>关于印发《国家社会科学基金项目资金管理办法》的通知</w:t>
      </w:r>
    </w:p>
    <w:p w:rsidR="003C4830" w:rsidRPr="003C4830" w:rsidRDefault="003C4830" w:rsidP="003C4830">
      <w:pPr>
        <w:widowControl/>
        <w:shd w:val="clear" w:color="auto" w:fill="FFFFFF"/>
        <w:spacing w:before="375" w:after="375" w:line="540" w:lineRule="atLeast"/>
        <w:ind w:firstLine="240"/>
        <w:jc w:val="center"/>
        <w:rPr>
          <w:rFonts w:ascii="microsoft yahei" w:eastAsia="微软雅黑" w:hAnsi="microsoft yahei" w:cs="宋体" w:hint="eastAsia"/>
          <w:color w:val="333333"/>
          <w:kern w:val="0"/>
          <w:sz w:val="27"/>
          <w:szCs w:val="27"/>
        </w:rPr>
      </w:pPr>
      <w:bookmarkStart w:id="0" w:name="_GoBack"/>
      <w:bookmarkEnd w:id="0"/>
      <w:r w:rsidRPr="003C4830">
        <w:rPr>
          <w:rFonts w:ascii="microsoft yahei" w:eastAsia="微软雅黑" w:hAnsi="microsoft yahei" w:cs="宋体"/>
          <w:color w:val="333333"/>
          <w:kern w:val="0"/>
          <w:sz w:val="27"/>
          <w:szCs w:val="27"/>
        </w:rPr>
        <w:t>财教〔</w:t>
      </w:r>
      <w:r w:rsidRPr="003C4830">
        <w:rPr>
          <w:rFonts w:ascii="microsoft yahei" w:eastAsia="微软雅黑" w:hAnsi="microsoft yahei" w:cs="宋体"/>
          <w:color w:val="333333"/>
          <w:kern w:val="0"/>
          <w:sz w:val="27"/>
          <w:szCs w:val="27"/>
        </w:rPr>
        <w:t>2021</w:t>
      </w:r>
      <w:r w:rsidRPr="003C4830">
        <w:rPr>
          <w:rFonts w:ascii="microsoft yahei" w:eastAsia="微软雅黑" w:hAnsi="microsoft yahei" w:cs="宋体"/>
          <w:color w:val="333333"/>
          <w:kern w:val="0"/>
          <w:sz w:val="27"/>
          <w:szCs w:val="27"/>
        </w:rPr>
        <w:t>〕</w:t>
      </w:r>
      <w:r w:rsidRPr="003C4830">
        <w:rPr>
          <w:rFonts w:ascii="microsoft yahei" w:eastAsia="微软雅黑" w:hAnsi="microsoft yahei" w:cs="宋体"/>
          <w:color w:val="333333"/>
          <w:kern w:val="0"/>
          <w:sz w:val="27"/>
          <w:szCs w:val="27"/>
        </w:rPr>
        <w:t>237</w:t>
      </w:r>
      <w:r w:rsidRPr="003C4830">
        <w:rPr>
          <w:rFonts w:ascii="microsoft yahei" w:eastAsia="微软雅黑" w:hAnsi="microsoft yahei" w:cs="宋体"/>
          <w:color w:val="333333"/>
          <w:kern w:val="0"/>
          <w:sz w:val="27"/>
          <w:szCs w:val="27"/>
        </w:rPr>
        <w:t>号</w:t>
      </w:r>
    </w:p>
    <w:p w:rsidR="003C4830" w:rsidRPr="003C4830" w:rsidRDefault="003C4830" w:rsidP="003C4830">
      <w:pPr>
        <w:widowControl/>
        <w:shd w:val="clear" w:color="auto" w:fill="FFFFFF"/>
        <w:spacing w:before="375" w:after="375" w:line="540" w:lineRule="atLeast"/>
        <w:jc w:val="left"/>
        <w:rPr>
          <w:rFonts w:ascii="microsoft yahei" w:eastAsia="微软雅黑" w:hAnsi="microsoft yahei" w:cs="宋体"/>
          <w:color w:val="333333"/>
          <w:kern w:val="0"/>
          <w:sz w:val="27"/>
          <w:szCs w:val="27"/>
        </w:rPr>
      </w:pPr>
      <w:r w:rsidRPr="003C4830">
        <w:rPr>
          <w:rFonts w:ascii="microsoft yahei" w:eastAsia="微软雅黑" w:hAnsi="microsoft yahei" w:cs="宋体"/>
          <w:color w:val="333333"/>
          <w:kern w:val="0"/>
          <w:sz w:val="27"/>
          <w:szCs w:val="27"/>
        </w:rPr>
        <w:t>有关单位：</w:t>
      </w:r>
    </w:p>
    <w:p w:rsidR="003C4830" w:rsidRPr="003C4830" w:rsidRDefault="003C4830" w:rsidP="003C483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3C4830">
        <w:rPr>
          <w:rFonts w:ascii="microsoft yahei" w:eastAsia="微软雅黑" w:hAnsi="microsoft yahei" w:cs="宋体"/>
          <w:color w:val="333333"/>
          <w:kern w:val="0"/>
          <w:sz w:val="27"/>
          <w:szCs w:val="27"/>
        </w:rPr>
        <w:t>根据党中央、国务院关于科研经费管理改革有关要求和《国务院办公厅关于改革完善中央财政科研经费管理的若干意见》</w:t>
      </w:r>
      <w:r w:rsidRPr="003C4830">
        <w:rPr>
          <w:rFonts w:ascii="microsoft yahei" w:eastAsia="微软雅黑" w:hAnsi="microsoft yahei" w:cs="宋体"/>
          <w:color w:val="333333"/>
          <w:kern w:val="0"/>
          <w:sz w:val="27"/>
          <w:szCs w:val="27"/>
        </w:rPr>
        <w:t>(</w:t>
      </w:r>
      <w:r w:rsidRPr="003C4830">
        <w:rPr>
          <w:rFonts w:ascii="microsoft yahei" w:eastAsia="微软雅黑" w:hAnsi="microsoft yahei" w:cs="宋体"/>
          <w:color w:val="333333"/>
          <w:kern w:val="0"/>
          <w:sz w:val="27"/>
          <w:szCs w:val="27"/>
        </w:rPr>
        <w:t>国办发〔</w:t>
      </w:r>
      <w:r w:rsidRPr="003C4830">
        <w:rPr>
          <w:rFonts w:ascii="microsoft yahei" w:eastAsia="微软雅黑" w:hAnsi="microsoft yahei" w:cs="宋体"/>
          <w:color w:val="333333"/>
          <w:kern w:val="0"/>
          <w:sz w:val="27"/>
          <w:szCs w:val="27"/>
        </w:rPr>
        <w:t>2021</w:t>
      </w:r>
      <w:r w:rsidRPr="003C4830">
        <w:rPr>
          <w:rFonts w:ascii="microsoft yahei" w:eastAsia="微软雅黑" w:hAnsi="microsoft yahei" w:cs="宋体"/>
          <w:color w:val="333333"/>
          <w:kern w:val="0"/>
          <w:sz w:val="27"/>
          <w:szCs w:val="27"/>
        </w:rPr>
        <w:t>〕</w:t>
      </w:r>
      <w:r w:rsidRPr="003C4830">
        <w:rPr>
          <w:rFonts w:ascii="microsoft yahei" w:eastAsia="微软雅黑" w:hAnsi="microsoft yahei" w:cs="宋体"/>
          <w:color w:val="333333"/>
          <w:kern w:val="0"/>
          <w:sz w:val="27"/>
          <w:szCs w:val="27"/>
        </w:rPr>
        <w:t>32</w:t>
      </w:r>
      <w:r w:rsidRPr="003C4830">
        <w:rPr>
          <w:rFonts w:ascii="microsoft yahei" w:eastAsia="微软雅黑" w:hAnsi="microsoft yahei" w:cs="宋体"/>
          <w:color w:val="333333"/>
          <w:kern w:val="0"/>
          <w:sz w:val="27"/>
          <w:szCs w:val="27"/>
        </w:rPr>
        <w:t>号</w:t>
      </w:r>
      <w:r w:rsidRPr="003C4830">
        <w:rPr>
          <w:rFonts w:ascii="microsoft yahei" w:eastAsia="微软雅黑" w:hAnsi="microsoft yahei" w:cs="宋体"/>
          <w:color w:val="333333"/>
          <w:kern w:val="0"/>
          <w:sz w:val="27"/>
          <w:szCs w:val="27"/>
        </w:rPr>
        <w:t>)</w:t>
      </w:r>
      <w:r w:rsidRPr="003C4830">
        <w:rPr>
          <w:rFonts w:ascii="microsoft yahei" w:eastAsia="微软雅黑" w:hAnsi="microsoft yahei" w:cs="宋体"/>
          <w:color w:val="333333"/>
          <w:kern w:val="0"/>
          <w:sz w:val="27"/>
          <w:szCs w:val="27"/>
        </w:rPr>
        <w:t>，我们对《财政部</w:t>
      </w:r>
      <w:r w:rsidRPr="003C4830">
        <w:rPr>
          <w:rFonts w:ascii="microsoft yahei" w:eastAsia="微软雅黑" w:hAnsi="microsoft yahei" w:cs="宋体"/>
          <w:color w:val="333333"/>
          <w:kern w:val="0"/>
          <w:sz w:val="27"/>
          <w:szCs w:val="27"/>
        </w:rPr>
        <w:t xml:space="preserve"> </w:t>
      </w:r>
      <w:r w:rsidRPr="003C4830">
        <w:rPr>
          <w:rFonts w:ascii="microsoft yahei" w:eastAsia="微软雅黑" w:hAnsi="microsoft yahei" w:cs="宋体"/>
          <w:color w:val="333333"/>
          <w:kern w:val="0"/>
          <w:sz w:val="27"/>
          <w:szCs w:val="27"/>
        </w:rPr>
        <w:t>全国哲学社会科学规划领导小组关于印发</w:t>
      </w:r>
      <w:r w:rsidRPr="003C4830">
        <w:rPr>
          <w:rFonts w:ascii="microsoft yahei" w:eastAsia="微软雅黑" w:hAnsi="microsoft yahei" w:cs="宋体"/>
          <w:color w:val="333333"/>
          <w:kern w:val="0"/>
          <w:sz w:val="27"/>
          <w:szCs w:val="27"/>
        </w:rPr>
        <w:t>&lt;</w:t>
      </w:r>
      <w:r w:rsidRPr="003C4830">
        <w:rPr>
          <w:rFonts w:ascii="microsoft yahei" w:eastAsia="微软雅黑" w:hAnsi="microsoft yahei" w:cs="宋体"/>
          <w:color w:val="333333"/>
          <w:kern w:val="0"/>
          <w:sz w:val="27"/>
          <w:szCs w:val="27"/>
        </w:rPr>
        <w:t>国家社会科学基金项目资金管理办法</w:t>
      </w:r>
      <w:r w:rsidRPr="003C4830">
        <w:rPr>
          <w:rFonts w:ascii="microsoft yahei" w:eastAsia="微软雅黑" w:hAnsi="microsoft yahei" w:cs="宋体"/>
          <w:color w:val="333333"/>
          <w:kern w:val="0"/>
          <w:sz w:val="27"/>
          <w:szCs w:val="27"/>
        </w:rPr>
        <w:t>&gt;</w:t>
      </w:r>
      <w:r w:rsidRPr="003C4830">
        <w:rPr>
          <w:rFonts w:ascii="microsoft yahei" w:eastAsia="微软雅黑" w:hAnsi="microsoft yahei" w:cs="宋体"/>
          <w:color w:val="333333"/>
          <w:kern w:val="0"/>
          <w:sz w:val="27"/>
          <w:szCs w:val="27"/>
        </w:rPr>
        <w:t>的通知》（财教〔</w:t>
      </w:r>
      <w:r w:rsidRPr="003C4830">
        <w:rPr>
          <w:rFonts w:ascii="microsoft yahei" w:eastAsia="微软雅黑" w:hAnsi="microsoft yahei" w:cs="宋体"/>
          <w:color w:val="333333"/>
          <w:kern w:val="0"/>
          <w:sz w:val="27"/>
          <w:szCs w:val="27"/>
        </w:rPr>
        <w:t>2016</w:t>
      </w:r>
      <w:r w:rsidRPr="003C4830">
        <w:rPr>
          <w:rFonts w:ascii="microsoft yahei" w:eastAsia="微软雅黑" w:hAnsi="microsoft yahei" w:cs="宋体"/>
          <w:color w:val="333333"/>
          <w:kern w:val="0"/>
          <w:sz w:val="27"/>
          <w:szCs w:val="27"/>
        </w:rPr>
        <w:t>〕</w:t>
      </w:r>
      <w:r w:rsidRPr="003C4830">
        <w:rPr>
          <w:rFonts w:ascii="microsoft yahei" w:eastAsia="微软雅黑" w:hAnsi="microsoft yahei" w:cs="宋体"/>
          <w:color w:val="333333"/>
          <w:kern w:val="0"/>
          <w:sz w:val="27"/>
          <w:szCs w:val="27"/>
        </w:rPr>
        <w:t>304</w:t>
      </w:r>
      <w:r w:rsidRPr="003C4830">
        <w:rPr>
          <w:rFonts w:ascii="microsoft yahei" w:eastAsia="微软雅黑" w:hAnsi="microsoft yahei" w:cs="宋体"/>
          <w:color w:val="333333"/>
          <w:kern w:val="0"/>
          <w:sz w:val="27"/>
          <w:szCs w:val="27"/>
        </w:rPr>
        <w:t>号）进行了修订。现将修订后的《国家社会科学基金项目资金管理办法》印发你们，请遵照执行。</w:t>
      </w:r>
    </w:p>
    <w:p w:rsidR="003C4830" w:rsidRPr="003C4830" w:rsidRDefault="003C4830" w:rsidP="003C4830">
      <w:pPr>
        <w:widowControl/>
        <w:shd w:val="clear" w:color="auto" w:fill="FFFFFF"/>
        <w:spacing w:line="540" w:lineRule="atLeast"/>
        <w:ind w:firstLine="480"/>
        <w:jc w:val="left"/>
        <w:rPr>
          <w:rFonts w:ascii="microsoft yahei" w:eastAsia="微软雅黑" w:hAnsi="microsoft yahei" w:cs="宋体"/>
          <w:color w:val="333333"/>
          <w:kern w:val="0"/>
          <w:sz w:val="27"/>
          <w:szCs w:val="27"/>
        </w:rPr>
      </w:pPr>
      <w:r w:rsidRPr="003C4830">
        <w:rPr>
          <w:rFonts w:ascii="microsoft yahei" w:eastAsia="微软雅黑" w:hAnsi="microsoft yahei" w:cs="宋体"/>
          <w:color w:val="333333"/>
          <w:kern w:val="0"/>
          <w:sz w:val="27"/>
          <w:szCs w:val="27"/>
        </w:rPr>
        <w:t>附件：</w:t>
      </w:r>
      <w:hyperlink r:id="rId4" w:tgtFrame="_blank" w:history="1">
        <w:r w:rsidRPr="003C4830">
          <w:rPr>
            <w:rFonts w:ascii="微软雅黑" w:eastAsia="微软雅黑" w:hAnsi="微软雅黑" w:cs="宋体" w:hint="eastAsia"/>
            <w:color w:val="313131"/>
            <w:kern w:val="0"/>
            <w:sz w:val="27"/>
            <w:szCs w:val="27"/>
            <w:u w:val="single"/>
          </w:rPr>
          <w:t>国家社会科学基金项目资金管理办法</w:t>
        </w:r>
      </w:hyperlink>
    </w:p>
    <w:p w:rsidR="003C4830" w:rsidRPr="003C4830" w:rsidRDefault="003C4830" w:rsidP="003C4830">
      <w:pPr>
        <w:widowControl/>
        <w:shd w:val="clear" w:color="auto" w:fill="FFFFFF"/>
        <w:spacing w:before="375" w:after="375" w:line="540" w:lineRule="atLeast"/>
        <w:ind w:firstLine="480"/>
        <w:jc w:val="right"/>
        <w:rPr>
          <w:rFonts w:ascii="microsoft yahei" w:eastAsia="微软雅黑" w:hAnsi="microsoft yahei" w:cs="宋体"/>
          <w:color w:val="333333"/>
          <w:kern w:val="0"/>
          <w:sz w:val="27"/>
          <w:szCs w:val="27"/>
        </w:rPr>
      </w:pPr>
      <w:r w:rsidRPr="003C4830">
        <w:rPr>
          <w:rFonts w:ascii="microsoft yahei" w:eastAsia="微软雅黑" w:hAnsi="microsoft yahei" w:cs="宋体"/>
          <w:color w:val="333333"/>
          <w:kern w:val="0"/>
          <w:sz w:val="27"/>
          <w:szCs w:val="27"/>
        </w:rPr>
        <w:t>财</w:t>
      </w:r>
      <w:r w:rsidRPr="003C4830">
        <w:rPr>
          <w:rFonts w:ascii="microsoft yahei" w:eastAsia="微软雅黑" w:hAnsi="microsoft yahei" w:cs="宋体"/>
          <w:color w:val="333333"/>
          <w:kern w:val="0"/>
          <w:sz w:val="27"/>
          <w:szCs w:val="27"/>
        </w:rPr>
        <w:t xml:space="preserve"> </w:t>
      </w:r>
      <w:r w:rsidRPr="003C4830">
        <w:rPr>
          <w:rFonts w:ascii="microsoft yahei" w:eastAsia="微软雅黑" w:hAnsi="microsoft yahei" w:cs="宋体"/>
          <w:color w:val="333333"/>
          <w:kern w:val="0"/>
          <w:sz w:val="27"/>
          <w:szCs w:val="27"/>
        </w:rPr>
        <w:t>政</w:t>
      </w:r>
      <w:r w:rsidRPr="003C4830">
        <w:rPr>
          <w:rFonts w:ascii="microsoft yahei" w:eastAsia="微软雅黑" w:hAnsi="microsoft yahei" w:cs="宋体"/>
          <w:color w:val="333333"/>
          <w:kern w:val="0"/>
          <w:sz w:val="27"/>
          <w:szCs w:val="27"/>
        </w:rPr>
        <w:t xml:space="preserve"> </w:t>
      </w:r>
      <w:r w:rsidRPr="003C4830">
        <w:rPr>
          <w:rFonts w:ascii="microsoft yahei" w:eastAsia="微软雅黑" w:hAnsi="microsoft yahei" w:cs="宋体"/>
          <w:color w:val="333333"/>
          <w:kern w:val="0"/>
          <w:sz w:val="27"/>
          <w:szCs w:val="27"/>
        </w:rPr>
        <w:t>部</w:t>
      </w:r>
      <w:r w:rsidRPr="003C4830">
        <w:rPr>
          <w:rFonts w:ascii="microsoft yahei" w:eastAsia="微软雅黑" w:hAnsi="microsoft yahei" w:cs="宋体"/>
          <w:color w:val="333333"/>
          <w:kern w:val="0"/>
          <w:sz w:val="27"/>
          <w:szCs w:val="27"/>
        </w:rPr>
        <w:t xml:space="preserve">    </w:t>
      </w:r>
      <w:r w:rsidRPr="003C4830">
        <w:rPr>
          <w:rFonts w:ascii="microsoft yahei" w:eastAsia="微软雅黑" w:hAnsi="microsoft yahei" w:cs="宋体"/>
          <w:color w:val="333333"/>
          <w:kern w:val="0"/>
          <w:sz w:val="27"/>
          <w:szCs w:val="27"/>
        </w:rPr>
        <w:t>全国哲学社会科学工作领导小组</w:t>
      </w:r>
    </w:p>
    <w:p w:rsidR="003C4830" w:rsidRPr="003C4830" w:rsidRDefault="003C4830" w:rsidP="003C4830">
      <w:pPr>
        <w:widowControl/>
        <w:shd w:val="clear" w:color="auto" w:fill="FFFFFF"/>
        <w:spacing w:line="540" w:lineRule="atLeast"/>
        <w:ind w:firstLine="480"/>
        <w:jc w:val="right"/>
        <w:rPr>
          <w:rFonts w:ascii="microsoft yahei" w:eastAsia="微软雅黑" w:hAnsi="microsoft yahei" w:cs="宋体"/>
          <w:color w:val="333333"/>
          <w:kern w:val="0"/>
          <w:sz w:val="27"/>
          <w:szCs w:val="27"/>
        </w:rPr>
      </w:pPr>
      <w:r w:rsidRPr="003C4830">
        <w:rPr>
          <w:rFonts w:ascii="微软雅黑" w:eastAsia="微软雅黑" w:hAnsi="微软雅黑" w:cs="宋体" w:hint="eastAsia"/>
          <w:color w:val="333333"/>
          <w:kern w:val="0"/>
          <w:sz w:val="27"/>
          <w:szCs w:val="27"/>
        </w:rPr>
        <w:t>2021年10月31日</w:t>
      </w:r>
    </w:p>
    <w:p w:rsidR="003C4830" w:rsidRPr="003C4830" w:rsidRDefault="003C4830" w:rsidP="003C4830">
      <w:pPr>
        <w:widowControl/>
        <w:spacing w:line="338" w:lineRule="atLeast"/>
        <w:jc w:val="left"/>
        <w:rPr>
          <w:rFonts w:ascii="微软雅黑" w:eastAsia="微软雅黑" w:hAnsi="微软雅黑" w:cs="宋体"/>
          <w:color w:val="313131"/>
          <w:kern w:val="0"/>
          <w:sz w:val="23"/>
          <w:szCs w:val="23"/>
        </w:rPr>
      </w:pPr>
      <w:r w:rsidRPr="003C4830">
        <w:rPr>
          <w:rFonts w:ascii="微软雅黑" w:eastAsia="微软雅黑" w:hAnsi="微软雅黑" w:cs="宋体" w:hint="eastAsia"/>
          <w:color w:val="313131"/>
          <w:kern w:val="0"/>
          <w:sz w:val="32"/>
          <w:szCs w:val="32"/>
        </w:rPr>
        <w:t>附件</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方正小标宋简体" w:eastAsia="方正小标宋简体" w:hAnsi="微软雅黑" w:cs="宋体" w:hint="eastAsia"/>
          <w:color w:val="313131"/>
          <w:kern w:val="0"/>
          <w:sz w:val="44"/>
          <w:szCs w:val="44"/>
        </w:rPr>
        <w:t> </w:t>
      </w:r>
    </w:p>
    <w:p w:rsidR="003C4830" w:rsidRPr="003C4830" w:rsidRDefault="003C4830" w:rsidP="003C4830">
      <w:pPr>
        <w:widowControl/>
        <w:jc w:val="center"/>
        <w:rPr>
          <w:rFonts w:ascii="微软雅黑" w:eastAsia="微软雅黑" w:hAnsi="微软雅黑" w:cs="宋体" w:hint="eastAsia"/>
          <w:color w:val="313131"/>
          <w:kern w:val="0"/>
          <w:sz w:val="23"/>
          <w:szCs w:val="23"/>
        </w:rPr>
      </w:pPr>
      <w:r w:rsidRPr="003C4830">
        <w:rPr>
          <w:rFonts w:ascii="方正小标宋简体" w:eastAsia="方正小标宋简体" w:hAnsi="微软雅黑" w:cs="宋体" w:hint="eastAsia"/>
          <w:color w:val="313131"/>
          <w:kern w:val="0"/>
          <w:sz w:val="44"/>
          <w:szCs w:val="44"/>
        </w:rPr>
        <w:t>国家社会科学基金项目资金管理办法</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方正小标宋简体" w:eastAsia="方正小标宋简体" w:hAnsi="微软雅黑" w:cs="宋体" w:hint="eastAsia"/>
          <w:color w:val="313131"/>
          <w:kern w:val="0"/>
          <w:sz w:val="44"/>
          <w:szCs w:val="44"/>
        </w:rPr>
        <w:t> </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lastRenderedPageBreak/>
        <w:t>第一章</w:t>
      </w:r>
      <w:r w:rsidRPr="003C4830">
        <w:rPr>
          <w:rFonts w:ascii="Calibri" w:eastAsia="黑体" w:hAnsi="Calibri" w:cs="Calibri"/>
          <w:color w:val="313131"/>
          <w:kern w:val="0"/>
          <w:sz w:val="32"/>
          <w:szCs w:val="32"/>
        </w:rPr>
        <w:t> </w:t>
      </w:r>
      <w:r w:rsidRPr="003C4830">
        <w:rPr>
          <w:rFonts w:ascii="黑体" w:eastAsia="黑体" w:hAnsi="黑体" w:cs="宋体" w:hint="eastAsia"/>
          <w:color w:val="313131"/>
          <w:kern w:val="0"/>
          <w:sz w:val="32"/>
          <w:szCs w:val="32"/>
        </w:rPr>
        <w:t>总</w:t>
      </w:r>
      <w:r w:rsidRPr="003C4830">
        <w:rPr>
          <w:rFonts w:ascii="Calibri" w:eastAsia="黑体" w:hAnsi="Calibri" w:cs="Calibri"/>
          <w:color w:val="313131"/>
          <w:kern w:val="0"/>
          <w:sz w:val="32"/>
          <w:szCs w:val="32"/>
        </w:rPr>
        <w:t>  </w:t>
      </w:r>
      <w:r w:rsidRPr="003C4830">
        <w:rPr>
          <w:rFonts w:ascii="黑体" w:eastAsia="黑体" w:hAnsi="黑体" w:cs="宋体" w:hint="eastAsia"/>
          <w:color w:val="313131"/>
          <w:kern w:val="0"/>
          <w:sz w:val="32"/>
          <w:szCs w:val="32"/>
        </w:rPr>
        <w:t>则</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第一条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为规范国家社会科学基金（以下简称国家社科基金）项目资金使用和管理，提高资金使用效益，更好推动哲学社会科学繁荣发展，根据国家财政财务管理有关法律法规和《中共中央办公厅</w:t>
      </w:r>
      <w:r w:rsidRPr="003C4830">
        <w:rPr>
          <w:rFonts w:ascii="仿宋_gb2312" w:eastAsia="仿宋_gb2312" w:hAnsi="微软雅黑" w:cs="宋体" w:hint="eastAsia"/>
          <w:color w:val="313131"/>
          <w:kern w:val="0"/>
          <w:sz w:val="32"/>
          <w:szCs w:val="32"/>
        </w:rPr>
        <w:t> </w:t>
      </w:r>
      <w:r w:rsidRPr="003C4830">
        <w:rPr>
          <w:rFonts w:ascii="仿宋_gb2312" w:eastAsia="仿宋_gb2312" w:hAnsi="微软雅黑" w:cs="宋体" w:hint="eastAsia"/>
          <w:color w:val="313131"/>
          <w:kern w:val="0"/>
          <w:sz w:val="32"/>
          <w:szCs w:val="32"/>
        </w:rPr>
        <w:t>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国家社科基金管理特点，制定本办法。</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国家社科基金项目资金来源于中央财政拨款，是用于资助哲学社会科学研究，促进哲学社会科学学科发展、人才培养和队伍建设的专项资金。</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国家社科基金项目资金管理，应当以多出优秀成果、培养优秀人才为目标，坚持以人为本、遵循规律、强化绩效、依法规范、公正合理和安全高效的原则。</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第四条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财政部根据国家哲学社会科学发展规划，结合国家社科基金资金需求、国家财力可能和绩效结果等，将项目资金列入中央财政预算，并负责宏观管理和监督。</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lastRenderedPageBreak/>
        <w:t>第五条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全国哲学社会科学工作办公室（以下简称全国社科工作办）依法负责项目的立项和审批，并对项目资金进行具体管理和监督检查。</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第六条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所在省区市社科工作办和在京委托管理机构配合全国社科工作办对项目资金进行具体管理和监督检查。</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第七条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项目责任单位是项目资金管理的责任主体，应当建立健全</w:t>
      </w:r>
      <w:r w:rsidRPr="003C4830">
        <w:rPr>
          <w:rFonts w:ascii="Times New Roman" w:eastAsia="仿宋_gb2312" w:hAnsi="Times New Roman" w:cs="Times New Roman"/>
          <w:color w:val="313131"/>
          <w:kern w:val="0"/>
          <w:sz w:val="32"/>
          <w:szCs w:val="32"/>
        </w:rPr>
        <w:t>“</w:t>
      </w:r>
      <w:r w:rsidRPr="003C4830">
        <w:rPr>
          <w:rFonts w:ascii="仿宋_gb2312" w:eastAsia="仿宋_gb2312" w:hAnsi="微软雅黑" w:cs="宋体" w:hint="eastAsia"/>
          <w:color w:val="313131"/>
          <w:kern w:val="0"/>
          <w:sz w:val="32"/>
          <w:szCs w:val="32"/>
        </w:rPr>
        <w:t>统一领导、分级管理、责任到人</w:t>
      </w:r>
      <w:r w:rsidRPr="003C4830">
        <w:rPr>
          <w:rFonts w:ascii="Times New Roman" w:eastAsia="仿宋_gb2312" w:hAnsi="Times New Roman" w:cs="Times New Roman"/>
          <w:color w:val="313131"/>
          <w:kern w:val="0"/>
          <w:sz w:val="32"/>
          <w:szCs w:val="32"/>
        </w:rPr>
        <w:t>”</w:t>
      </w:r>
      <w:r w:rsidRPr="003C4830">
        <w:rPr>
          <w:rFonts w:ascii="仿宋_gb2312" w:eastAsia="仿宋_gb2312" w:hAnsi="微软雅黑" w:cs="宋体" w:hint="eastAsia"/>
          <w:color w:val="313131"/>
          <w:kern w:val="0"/>
          <w:sz w:val="32"/>
          <w:szCs w:val="32"/>
        </w:rPr>
        <w:t>的项目资金管理体制和制度，完善内部控制、绩效管理和监督约束机制，合理确定科研、财务、人事、资产、审计、监察等部门的责任和权限，加强对项目资金的管理和监督。</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第八条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项目负责人是项目资金使用的直接责任人，对资金使用的合规性、合理性、真实性和相关性负责。</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第九条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根据预算管理方式不同，国家社科基金项目资金管理分为预算制和包干制。</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 </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第二章</w:t>
      </w:r>
      <w:r w:rsidRPr="003C4830">
        <w:rPr>
          <w:rFonts w:ascii="Calibri" w:eastAsia="黑体" w:hAnsi="Calibri" w:cs="Calibri"/>
          <w:color w:val="313131"/>
          <w:kern w:val="0"/>
          <w:sz w:val="32"/>
          <w:szCs w:val="32"/>
        </w:rPr>
        <w:t>  </w:t>
      </w:r>
      <w:r w:rsidRPr="003C4830">
        <w:rPr>
          <w:rFonts w:ascii="黑体" w:eastAsia="黑体" w:hAnsi="黑体" w:cs="宋体" w:hint="eastAsia"/>
          <w:color w:val="313131"/>
          <w:kern w:val="0"/>
          <w:sz w:val="32"/>
          <w:szCs w:val="32"/>
        </w:rPr>
        <w:t>项目资金开支范围</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第十条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项目资金支出是指与项目研究工作相关的、由项目资金支付的各项费用支出。项目资金由直接费用和间接费用组成。</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第十一条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直接费用是指在项目实施过程中发生的与之直接相关的费用，主要包括：</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lastRenderedPageBreak/>
        <w:t>（一）业务费：指在项目实施过程中购置图书、收集资料、复印翻拍、检索文献、采集数据、翻译资料、印刷出版、会议/差旅/国际合作与交流等费用，以及其他相关支出。</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（二）劳务费：指在项目实施过程中支付给参与项目研究的研究生、博士后、访问学者和项目聘用的研究人员、科研辅助人员等的劳务性费用，以及支付给临时聘请的咨询专家的费用等。</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项目聘用人员的劳务费开支标准，参照当地社科研究从业人员平均工资水平，根据其在项目研究中承担的工作任务确定，其由单位缴纳的社会保险补助、住房公积金等纳入劳务费科目列支。</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支付给临时聘请的咨询专家的费用，不得支付给参与本项目及所属课题研究和管理的相关人员，其管理按照国家有关规定执行。</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（三）设备费：指在项目实施过程中购置设备和设备耗材、升级维护现有设备以及租用外单位设备而发生的费用。应当严格控制设备购置，鼓励共享、租赁设备以及对现有设备进行升级。</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第十二条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间接费用是指项目责任单位在组织实施项目过程中发生的无法在直接费用中列支的相关费用。主要包括：项目责任单位为项目研究提供的房屋占用，日常水、</w:t>
      </w:r>
      <w:r w:rsidRPr="003C4830">
        <w:rPr>
          <w:rFonts w:ascii="仿宋_gb2312" w:eastAsia="仿宋_gb2312" w:hAnsi="微软雅黑" w:cs="宋体" w:hint="eastAsia"/>
          <w:color w:val="313131"/>
          <w:kern w:val="0"/>
          <w:sz w:val="32"/>
          <w:szCs w:val="32"/>
        </w:rPr>
        <w:lastRenderedPageBreak/>
        <w:t>电、气、暖等消耗，有关管理费用的补助支出，以及激励科研人员的绩效支出等。</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Calibri" w:eastAsia="黑体" w:hAnsi="Calibri" w:cs="Calibri"/>
          <w:color w:val="313131"/>
          <w:kern w:val="0"/>
          <w:sz w:val="32"/>
          <w:szCs w:val="32"/>
        </w:rPr>
        <w:t> </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第三章</w:t>
      </w:r>
      <w:r w:rsidRPr="003C4830">
        <w:rPr>
          <w:rFonts w:ascii="Calibri" w:eastAsia="黑体" w:hAnsi="Calibri" w:cs="Calibri"/>
          <w:color w:val="313131"/>
          <w:kern w:val="0"/>
          <w:sz w:val="32"/>
          <w:szCs w:val="32"/>
        </w:rPr>
        <w:t>  </w:t>
      </w:r>
      <w:r w:rsidRPr="003C4830">
        <w:rPr>
          <w:rFonts w:ascii="黑体" w:eastAsia="黑体" w:hAnsi="黑体" w:cs="宋体" w:hint="eastAsia"/>
          <w:color w:val="313131"/>
          <w:kern w:val="0"/>
          <w:sz w:val="32"/>
          <w:szCs w:val="32"/>
        </w:rPr>
        <w:t>预算制项目资金管理</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第十三条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项目负责人应当按照目标相关性、政策相符性和经济合理性原则，根据项目研究需要和资金开支范围，科学合理、实事求是地编制项目预算。直接费用只提供基本测算说明，不需要提供明细。</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项目负责人应当在收到立项通知之日起30日内完成预算编制。无特殊情况，逾期不提交的，视为自动放弃资助。</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第十四条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项目预算经项目责任单位、所在省区市社科工作办或在京委托管理机构审核并签署意见后，提交全国社科工作办审核。未通过审核的，应当按要求调整后重新上报。</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第十五条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跨单位合作的项目，确需外拨资金的，应当在项目预算中单独列示，并附外拨资金直接费用支出预算。间接费用外拨金额，由项目责任单位和合作研究单位协商确定。</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第十六条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间接费用由项目责任单位统筹安排使用。项目责任单位应当建立健全间接费用的内部管理办法，公开透明、合理合规使用间接费用，处理好分摊间接成本和对</w:t>
      </w:r>
      <w:r w:rsidRPr="003C4830">
        <w:rPr>
          <w:rFonts w:ascii="仿宋_gb2312" w:eastAsia="仿宋_gb2312" w:hAnsi="微软雅黑" w:cs="宋体" w:hint="eastAsia"/>
          <w:color w:val="313131"/>
          <w:kern w:val="0"/>
          <w:sz w:val="32"/>
          <w:szCs w:val="32"/>
        </w:rPr>
        <w:lastRenderedPageBreak/>
        <w:t>科研人员激励的关系。绩效支出安排应当与科研人员在项目工作中的实际贡献挂钩。项目责任单位可将间接费用全部用于绩效支出，并向创新绩效突出的团队和个人倾斜。项目责任单位不得在间接费用以外，再以任何名义在项目资金中重复提取、列支相关费用。</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第十七条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间接费用基础比例一般按照不超过项目资助总额的一定比例核定，具体如下：50万元及以下部分为40%；超过50万元至500万元的部分为30%；超过500万元的部分为20%。</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项目成果通过审核验收后，依据结项等级调整间接费用比例，具体如下：</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（一）结项等级为</w:t>
      </w:r>
      <w:r w:rsidRPr="003C4830">
        <w:rPr>
          <w:rFonts w:ascii="Times New Roman" w:eastAsia="仿宋_gb2312" w:hAnsi="Times New Roman" w:cs="Times New Roman"/>
          <w:color w:val="313131"/>
          <w:kern w:val="0"/>
          <w:sz w:val="32"/>
          <w:szCs w:val="32"/>
        </w:rPr>
        <w:t>“</w:t>
      </w:r>
      <w:r w:rsidRPr="003C4830">
        <w:rPr>
          <w:rFonts w:ascii="仿宋_gb2312" w:eastAsia="仿宋_gb2312" w:hAnsi="微软雅黑" w:cs="宋体" w:hint="eastAsia"/>
          <w:color w:val="313131"/>
          <w:kern w:val="0"/>
          <w:sz w:val="32"/>
          <w:szCs w:val="32"/>
        </w:rPr>
        <w:t>优秀</w:t>
      </w:r>
      <w:r w:rsidRPr="003C4830">
        <w:rPr>
          <w:rFonts w:ascii="Times New Roman" w:eastAsia="仿宋_gb2312" w:hAnsi="Times New Roman" w:cs="Times New Roman"/>
          <w:color w:val="313131"/>
          <w:kern w:val="0"/>
          <w:sz w:val="32"/>
          <w:szCs w:val="32"/>
        </w:rPr>
        <w:t>”</w:t>
      </w:r>
      <w:r w:rsidRPr="003C4830">
        <w:rPr>
          <w:rFonts w:ascii="仿宋_gb2312" w:eastAsia="仿宋_gb2312" w:hAnsi="微软雅黑" w:cs="宋体" w:hint="eastAsia"/>
          <w:color w:val="313131"/>
          <w:kern w:val="0"/>
          <w:sz w:val="32"/>
          <w:szCs w:val="32"/>
        </w:rPr>
        <w:t>的，50万元及以下部分可提高到不超过60%；超过50万元至500万元的部分可提高到不超过50%；超过500万元的部分可提高到不超过40%。</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（二）结项等级为</w:t>
      </w:r>
      <w:r w:rsidRPr="003C4830">
        <w:rPr>
          <w:rFonts w:ascii="Times New Roman" w:eastAsia="仿宋_gb2312" w:hAnsi="Times New Roman" w:cs="Times New Roman"/>
          <w:color w:val="313131"/>
          <w:kern w:val="0"/>
          <w:sz w:val="32"/>
          <w:szCs w:val="32"/>
        </w:rPr>
        <w:t>“</w:t>
      </w:r>
      <w:r w:rsidRPr="003C4830">
        <w:rPr>
          <w:rFonts w:ascii="仿宋_gb2312" w:eastAsia="仿宋_gb2312" w:hAnsi="微软雅黑" w:cs="宋体" w:hint="eastAsia"/>
          <w:color w:val="313131"/>
          <w:kern w:val="0"/>
          <w:sz w:val="32"/>
          <w:szCs w:val="32"/>
        </w:rPr>
        <w:t>良好”的，50万元及以下部分可提高到不超过50%；超过50万元至500万元的部分可提高到不超过40%；超过500万元的部分可提高到不超过30%。</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（三）结项等级为</w:t>
      </w:r>
      <w:r w:rsidRPr="003C4830">
        <w:rPr>
          <w:rFonts w:ascii="Times New Roman" w:eastAsia="仿宋_gb2312" w:hAnsi="Times New Roman" w:cs="Times New Roman"/>
          <w:color w:val="313131"/>
          <w:kern w:val="0"/>
          <w:sz w:val="32"/>
          <w:szCs w:val="32"/>
        </w:rPr>
        <w:t>“</w:t>
      </w:r>
      <w:r w:rsidRPr="003C4830">
        <w:rPr>
          <w:rFonts w:ascii="仿宋_gb2312" w:eastAsia="仿宋_gb2312" w:hAnsi="微软雅黑" w:cs="宋体" w:hint="eastAsia"/>
          <w:color w:val="313131"/>
          <w:kern w:val="0"/>
          <w:sz w:val="32"/>
          <w:szCs w:val="32"/>
        </w:rPr>
        <w:t>合格</w:t>
      </w:r>
      <w:r w:rsidRPr="003C4830">
        <w:rPr>
          <w:rFonts w:ascii="Times New Roman" w:eastAsia="仿宋_gb2312" w:hAnsi="Times New Roman" w:cs="Times New Roman"/>
          <w:color w:val="313131"/>
          <w:kern w:val="0"/>
          <w:sz w:val="32"/>
          <w:szCs w:val="32"/>
        </w:rPr>
        <w:t>”</w:t>
      </w:r>
      <w:r w:rsidRPr="003C4830">
        <w:rPr>
          <w:rFonts w:ascii="仿宋_gb2312" w:eastAsia="仿宋_gb2312" w:hAnsi="微软雅黑" w:cs="宋体" w:hint="eastAsia"/>
          <w:color w:val="313131"/>
          <w:kern w:val="0"/>
          <w:sz w:val="32"/>
          <w:szCs w:val="32"/>
        </w:rPr>
        <w:t>，或以</w:t>
      </w:r>
      <w:r w:rsidRPr="003C4830">
        <w:rPr>
          <w:rFonts w:ascii="Times New Roman" w:eastAsia="仿宋_gb2312" w:hAnsi="Times New Roman" w:cs="Times New Roman"/>
          <w:color w:val="313131"/>
          <w:kern w:val="0"/>
          <w:sz w:val="32"/>
          <w:szCs w:val="32"/>
        </w:rPr>
        <w:t>“</w:t>
      </w:r>
      <w:r w:rsidRPr="003C4830">
        <w:rPr>
          <w:rFonts w:ascii="仿宋_gb2312" w:eastAsia="仿宋_gb2312" w:hAnsi="微软雅黑" w:cs="宋体" w:hint="eastAsia"/>
          <w:color w:val="313131"/>
          <w:kern w:val="0"/>
          <w:sz w:val="32"/>
          <w:szCs w:val="32"/>
        </w:rPr>
        <w:t>免于鉴定</w:t>
      </w:r>
      <w:r w:rsidRPr="003C4830">
        <w:rPr>
          <w:rFonts w:ascii="Times New Roman" w:eastAsia="仿宋_gb2312" w:hAnsi="Times New Roman" w:cs="Times New Roman"/>
          <w:color w:val="313131"/>
          <w:kern w:val="0"/>
          <w:sz w:val="32"/>
          <w:szCs w:val="32"/>
        </w:rPr>
        <w:t>”</w:t>
      </w:r>
      <w:r w:rsidRPr="003C4830">
        <w:rPr>
          <w:rFonts w:ascii="仿宋_gb2312" w:eastAsia="仿宋_gb2312" w:hAnsi="微软雅黑" w:cs="宋体" w:hint="eastAsia"/>
          <w:color w:val="313131"/>
          <w:kern w:val="0"/>
          <w:sz w:val="32"/>
          <w:szCs w:val="32"/>
        </w:rPr>
        <w:t>方式结项未分等级的，间接费用比例不再提高。</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项目在研期间，可按照核定的基础比例支出间接费用。项目成果通过审核验收后，依据结项等级确定间接费用比例。</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lastRenderedPageBreak/>
        <w:t>第十八条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项目预算有以下情况确需调剂的，由项目负责人提出申请，经项目责任单位、所在省区市社科工作办或在京委托管理机构审核同意后，报全国社科工作办审批。</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（一）由于研究内容或者研究计划作出重大调整等原因，需要增加或减少项目预算总额的；</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（二）原项目预算未列示外拨资金，需要增列的。</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第十九条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项目预算有以下情况确需调剂的，由项目责任单位审批或备案。</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（一）设备费预算、外拨资金如需调剂的，由项目负责人根据科研活动的实际需要提出申请，报项目责任单位审批。</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（二）业务费、劳务费预算如需调剂的，由项目负责人根据科研活动实际需要自主安排，并报项目责任单位备案。</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三）项目在研期间，间接费用预算总额不得调增，项目责任单位与项目负责人协商一致后可调减用于直接费用。依据项目结项等级确定间接费用比例后，间接费用由项目责任单位商项目负责人，从项目经费中调剂安排。</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项目责任单位应当根据科研项目的实际需求及时办理调剂手续。</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 </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lastRenderedPageBreak/>
        <w:t>第四章</w:t>
      </w:r>
      <w:r w:rsidRPr="003C4830">
        <w:rPr>
          <w:rFonts w:ascii="Calibri" w:eastAsia="黑体" w:hAnsi="Calibri" w:cs="Calibri"/>
          <w:color w:val="313131"/>
          <w:kern w:val="0"/>
          <w:sz w:val="32"/>
          <w:szCs w:val="32"/>
        </w:rPr>
        <w:t>  </w:t>
      </w:r>
      <w:r w:rsidRPr="003C4830">
        <w:rPr>
          <w:rFonts w:ascii="黑体" w:eastAsia="黑体" w:hAnsi="黑体" w:cs="宋体" w:hint="eastAsia"/>
          <w:color w:val="313131"/>
          <w:kern w:val="0"/>
          <w:sz w:val="32"/>
          <w:szCs w:val="32"/>
        </w:rPr>
        <w:t>包干制项目资金管理</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第二十条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包干制项目无需编制项目预算。</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第二十一条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包干制项目负责人在承诺遵守科研伦理道德和作风学风诚信要求、经费全部用于与项目研究工作相关支出的基础上，本着科学、合理、规范、有效的原则自主决定资金使用，按照本办法第十条规定的开支范围列支，无需履行调剂程序。</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对于项目责任单位为项目研究提供的房屋占用，日常水、电、气、暖等消耗，有关管理费用的补助支出，由项目责任单位根据实际管理需要，在充分征求项目负责人意见基础上合理确定。</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对于激励科研人员的绩效支出，由项目负责人根据实际科研需要和相关薪酬标准自主确定，项目责任单位按照工资制度进行管理。</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第二十二条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项目责任单位应当制定项目资金包干制管理规定。管理规定应当包括资金使用范围和标准、各方责任、违规惩戒措施等内容，报全国社科工作办备案。</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Calibri" w:eastAsia="黑体" w:hAnsi="Calibri" w:cs="Calibri"/>
          <w:color w:val="313131"/>
          <w:kern w:val="0"/>
          <w:sz w:val="32"/>
          <w:szCs w:val="32"/>
        </w:rPr>
        <w:t> </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第五章</w:t>
      </w:r>
      <w:r w:rsidRPr="003C4830">
        <w:rPr>
          <w:rFonts w:ascii="Calibri" w:eastAsia="黑体" w:hAnsi="Calibri" w:cs="Calibri"/>
          <w:color w:val="313131"/>
          <w:kern w:val="0"/>
          <w:sz w:val="32"/>
          <w:szCs w:val="32"/>
        </w:rPr>
        <w:t>  </w:t>
      </w:r>
      <w:r w:rsidRPr="003C4830">
        <w:rPr>
          <w:rFonts w:ascii="黑体" w:eastAsia="黑体" w:hAnsi="黑体" w:cs="宋体" w:hint="eastAsia"/>
          <w:color w:val="313131"/>
          <w:kern w:val="0"/>
          <w:sz w:val="32"/>
          <w:szCs w:val="32"/>
        </w:rPr>
        <w:t>预算执行与决算</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第二十三条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全国社科工作办应当根据不同类别项目特点、研究内容、资金需求等确定资助额度，在立项或预算回执获批后30日内，将经费拨付至项目责任单位，切实保</w:t>
      </w:r>
      <w:r w:rsidRPr="003C4830">
        <w:rPr>
          <w:rFonts w:ascii="仿宋_gb2312" w:eastAsia="仿宋_gb2312" w:hAnsi="微软雅黑" w:cs="宋体" w:hint="eastAsia"/>
          <w:color w:val="313131"/>
          <w:kern w:val="0"/>
          <w:sz w:val="32"/>
          <w:szCs w:val="32"/>
        </w:rPr>
        <w:lastRenderedPageBreak/>
        <w:t>障科研活动需要。项目资金的支付按照国库集中支付制度有关规定执行。</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有外拨资金的，项目责任单位应当及时将资金按资助项目预算拨至合作研究单位，并加强对外拨资金的监督管理。</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项目负责人应当结合科研活动需要，科学合理安排项目资金支出进度。项目责任单位应当关注项目资金执行进度，有效提高资金使用效益。</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第二十四条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国家社科基金项目资金实行预留资金制度。预留资金在项目成果通过审核验收后支付。未通过审核验收的项目，预留资金不予支付。</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第二十五条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项目资金应当纳入项目责任单位财务统一管理，单独核算，专款专用。</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第二十六条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项目责任单位应当严格执行国家有关支出管理制度。对应当实行“公务卡”结算的支出，按照中央财政科研项目使用“公务卡”结算的有关规定执行。劳务费支出原则上应当通过银行转账方式结算。</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项目资金属于政府采购范围的，应当按照政府采购有关规定执行。</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第二十七条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项目实施过程中，项目责任单位因科研活动实际需要，邀请国内外专家学者和有关人员参加由其主办的会议等，对确需负担的城市间交通费、国际旅费，可</w:t>
      </w:r>
      <w:r w:rsidRPr="003C4830">
        <w:rPr>
          <w:rFonts w:ascii="仿宋_gb2312" w:eastAsia="仿宋_gb2312" w:hAnsi="微软雅黑" w:cs="宋体" w:hint="eastAsia"/>
          <w:color w:val="313131"/>
          <w:kern w:val="0"/>
          <w:sz w:val="32"/>
          <w:szCs w:val="32"/>
        </w:rPr>
        <w:lastRenderedPageBreak/>
        <w:t>在会议费等费用中报销。对国内差旅费中的伙食补助费、市内交通费和难以取得发票的住宿费可实行包干制。对野外考察、数据采集等科研活动中无法取得发票或财政票据的支出，在确保真实性的前提下，可按实际发生额予以报销。</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第二十八条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项目实施过程中，使用项目资金形成的固定资产、无形资产等属于国有资产，应当按照国家有关国有资产管理的规定执行。</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第二十九条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项目责任单位要切实强化法人责任，制定内部管理办法，落实项目预算调剂、间接费用统筹使用、劳务费管理、结余资金使用等管理权限。</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第三十条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责任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项目责任单位根据情况通过科研项目经费等渠道统筹解决。应当改进财务报销管理方式，充分利用信息化手段，建立符合科研实际需要的内部报销机制。</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第三十一条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项目研究完成后，项目责任单位和项目负责人应当如实编制《国家社会科学基金项目结项审批书》中的项目决算表。</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lastRenderedPageBreak/>
        <w:t>有外拨资金的项目，外拨资金决算经合作研究单位财务、审计部门审核并签署意见后，由项目负责人汇总编制项目资金决算。</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第三十二条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项目研究成果首次鉴定的费用由全国社科工作办另行支付。首次鉴定未通过需组织第二次鉴定的，鉴定费用从项目预留资金中扣除。</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第三十三条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在研期间，年度剩余资金可以结转下一年度继续使用。项目通过审核验收后，结余资金由项目责任单位统筹安排用于项目最终成果出版及后续研究的直接支出，优先考虑原项目团队科研需求。项目责任单位应当加强结余资金管理，健全结余资金盘活机制，加快资金使用进度。</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第三十四条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对于因故被终止执行或被撤销的项目，全国社科工作办视情节轻重分别作出退回结余资金、退回结余资金和绩效支出、退回已拨资金处理。项目责任单位应当在接到通知后30日内按原渠道退回全国社科工作办。所退资金由全国社科工作办按照财政预算管理的有关规定，统筹用于资助项目研究。</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项目责任单位发生变更的项目，原项目责任单位应当及时向新项目责任单位转拨需转拨的项目资金。</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 </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第六章</w:t>
      </w:r>
      <w:r w:rsidRPr="003C4830">
        <w:rPr>
          <w:rFonts w:ascii="Calibri" w:eastAsia="黑体" w:hAnsi="Calibri" w:cs="Calibri"/>
          <w:color w:val="313131"/>
          <w:kern w:val="0"/>
          <w:sz w:val="32"/>
          <w:szCs w:val="32"/>
        </w:rPr>
        <w:t> </w:t>
      </w:r>
      <w:r w:rsidRPr="003C4830">
        <w:rPr>
          <w:rFonts w:ascii="黑体" w:eastAsia="黑体" w:hAnsi="黑体" w:cs="宋体" w:hint="eastAsia"/>
          <w:color w:val="313131"/>
          <w:kern w:val="0"/>
          <w:sz w:val="32"/>
          <w:szCs w:val="32"/>
        </w:rPr>
        <w:t>绩效管理与监督检查</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lastRenderedPageBreak/>
        <w:t>第三十五条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全国社科工作办应当建立项目资金绩效管理制度，对项目资金管理使用效益进行绩效评价。进一步强化绩效导向，加强分类绩效评价，健全绩效评价指标体系，强化绩效评价结果运用，将绩效评价结果作为项目调整、后续支持的重要参考。</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项目责任单位应当切实加强绩效管理，引导科研资源向优秀人才和团队倾斜，提高科研经费使用效益。</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第三十六条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项目责任单位和项目负责人应当依法依规管理使用项目资金，不得存在以下行为：</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（一）虚假编报项目预算；</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（二）未对项目资金进行单独核算；</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（三）列支与项目任务无关的支出；</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（四）未按规定执行和调剂预算、违反规定转拨项目资金；</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（五）通过虚假合同、虚假票据、虚构事项、虚报人员等弄虚作假，转移、套取、报销项目资金；</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（六）截留、挤占、挪用项目资金；</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（七）设置账外账、随意调账变动支出、随意修改记账凭证、提供虚假财务会计资料等；</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（八）在使用项目资金中以任何方式列支应由个人负担的有关费用和支付各种罚款、捐款、赞助、投资、偿还债务等；</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lastRenderedPageBreak/>
        <w:t>（九）其他违反国家财经纪律的行为。</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项目负责人使用项目资金情况应当自觉接受有关部门的监督检查。</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第三十七条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财政部、全国社科工作办、审计署、各省区市社科工作办和在京委托管理机构、项目责任单位应当根据职责和分工，建立覆盖资金管理使用全过程的资金监督机制。加强审计监督、财会监督与日常监督的贯通协调，增强监督合力，加强信息共享，避免交叉重复。</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第三十八条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财政部按规定对国家社科基金项目资金管理和使用情况进行监督管理，并根据工作需要开展绩效评价。</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第三十九条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审计署、全国社科工作办按规定对项目责任单位项目资金管理和使用情况进行监督检查。项目责任单位和项目负责人应当积极配合并提供有关资料。</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第四十条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各省区市社科工作办和在京委托管理机构应当督促项目责任单位加强内控制度和监督制约机制建设、落实项目资金管理责任，配合财政部、全国社科工作办开展监督检查和督促整改工作。</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第四十一条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项目责任单位应当按照本办法和国家相关财经法规及财务管理规定，完善内部控制和监督制约机制，动态监管资金使用并实时预警提醒，确保资金合理规</w:t>
      </w:r>
      <w:r w:rsidRPr="003C4830">
        <w:rPr>
          <w:rFonts w:ascii="仿宋_gb2312" w:eastAsia="仿宋_gb2312" w:hAnsi="微软雅黑" w:cs="宋体" w:hint="eastAsia"/>
          <w:color w:val="313131"/>
          <w:kern w:val="0"/>
          <w:sz w:val="32"/>
          <w:szCs w:val="32"/>
        </w:rPr>
        <w:lastRenderedPageBreak/>
        <w:t>范使用；加强支撑服务条件建设，提高对科研人员的服务水平，建立常态化的自查自纠机制，保证项目资金安全。</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第四十二条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资金管理建立承诺机制。项目责任单位应当承诺依法履行项目资金管理的职责。项目负责人应当承诺提供真实的项目信息，并认真遵守项目资金管理的有关规定。项目责任单位和项目负责人对违反承诺导致的后果承担相应责任。</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对项目责任单位和科研人员在项目资金管理使用过程中出现的失信情况，应当纳入信用记录管理，对严重失信行为实行追责和惩戒。</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第四十三条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项目资金管理建立信息公开机制。项目责任单位应当在单位内部公开项目预算、预算调剂、决算、项目组人员构成、设备购置、外拨资金、劳务费发放以及间接费用和结余资金使用等情况，自觉接受监督。</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第四十四条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财政部、全国社科工作办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项目责任单位及其相关工作人员、项目负责人及其团队成员在资金管理使用过程中，不按规定管理使用项目资</w:t>
      </w:r>
      <w:r w:rsidRPr="003C4830">
        <w:rPr>
          <w:rFonts w:ascii="仿宋_gb2312" w:eastAsia="仿宋_gb2312" w:hAnsi="微软雅黑" w:cs="宋体" w:hint="eastAsia"/>
          <w:color w:val="313131"/>
          <w:kern w:val="0"/>
          <w:sz w:val="32"/>
          <w:szCs w:val="32"/>
        </w:rPr>
        <w:lastRenderedPageBreak/>
        <w:t>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仿宋_gb2312" w:eastAsia="仿宋_gb2312" w:hAnsi="微软雅黑" w:cs="宋体" w:hint="eastAsia"/>
          <w:color w:val="313131"/>
          <w:kern w:val="0"/>
          <w:sz w:val="32"/>
          <w:szCs w:val="32"/>
        </w:rPr>
        <w:t> </w:t>
      </w:r>
    </w:p>
    <w:p w:rsidR="003C4830" w:rsidRPr="003C4830" w:rsidRDefault="003C4830" w:rsidP="003C4830">
      <w:pPr>
        <w:widowControl/>
        <w:spacing w:line="338" w:lineRule="atLeast"/>
        <w:jc w:val="center"/>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第七章</w:t>
      </w:r>
      <w:r w:rsidRPr="003C4830">
        <w:rPr>
          <w:rFonts w:ascii="Calibri" w:eastAsia="黑体" w:hAnsi="Calibri" w:cs="Calibri"/>
          <w:color w:val="313131"/>
          <w:kern w:val="0"/>
          <w:sz w:val="32"/>
          <w:szCs w:val="32"/>
        </w:rPr>
        <w:t>  </w:t>
      </w:r>
      <w:r w:rsidRPr="003C4830">
        <w:rPr>
          <w:rFonts w:ascii="黑体" w:eastAsia="黑体" w:hAnsi="黑体" w:cs="宋体" w:hint="eastAsia"/>
          <w:color w:val="313131"/>
          <w:kern w:val="0"/>
          <w:sz w:val="32"/>
          <w:szCs w:val="32"/>
        </w:rPr>
        <w:t>附</w:t>
      </w:r>
      <w:r w:rsidRPr="003C4830">
        <w:rPr>
          <w:rFonts w:ascii="Calibri" w:eastAsia="黑体" w:hAnsi="Calibri" w:cs="Calibri"/>
          <w:color w:val="313131"/>
          <w:kern w:val="0"/>
          <w:sz w:val="32"/>
          <w:szCs w:val="32"/>
        </w:rPr>
        <w:t>  </w:t>
      </w:r>
      <w:r w:rsidRPr="003C4830">
        <w:rPr>
          <w:rFonts w:ascii="黑体" w:eastAsia="黑体" w:hAnsi="黑体" w:cs="宋体" w:hint="eastAsia"/>
          <w:color w:val="313131"/>
          <w:kern w:val="0"/>
          <w:sz w:val="32"/>
          <w:szCs w:val="32"/>
        </w:rPr>
        <w:t>则</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第四十五条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本办法适用于国家社科基金各项目类型，以及教育学、艺术学、军事学三个单列学科。</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第四十六条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本办法由财政部、全国哲学社会科学工作领导小组负责解释。</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黑体" w:eastAsia="黑体" w:hAnsi="黑体" w:cs="宋体" w:hint="eastAsia"/>
          <w:color w:val="313131"/>
          <w:kern w:val="0"/>
          <w:sz w:val="32"/>
          <w:szCs w:val="32"/>
        </w:rPr>
        <w:t>第四十七条</w:t>
      </w:r>
      <w:r w:rsidRPr="003C4830">
        <w:rPr>
          <w:rFonts w:ascii="Calibri" w:eastAsia="黑体" w:hAnsi="Calibri" w:cs="Calibri"/>
          <w:color w:val="313131"/>
          <w:kern w:val="0"/>
          <w:sz w:val="32"/>
          <w:szCs w:val="32"/>
        </w:rPr>
        <w:t>  </w:t>
      </w:r>
      <w:r w:rsidRPr="003C4830">
        <w:rPr>
          <w:rFonts w:ascii="仿宋_gb2312" w:eastAsia="仿宋_gb2312" w:hAnsi="微软雅黑" w:cs="宋体" w:hint="eastAsia"/>
          <w:color w:val="313131"/>
          <w:kern w:val="0"/>
          <w:sz w:val="32"/>
          <w:szCs w:val="32"/>
        </w:rPr>
        <w:t>本办法自发布之日起施行，《财政部</w:t>
      </w:r>
      <w:r w:rsidRPr="003C4830">
        <w:rPr>
          <w:rFonts w:ascii="仿宋_gb2312" w:eastAsia="仿宋_gb2312" w:hAnsi="微软雅黑" w:cs="宋体" w:hint="eastAsia"/>
          <w:color w:val="313131"/>
          <w:kern w:val="0"/>
          <w:sz w:val="32"/>
          <w:szCs w:val="32"/>
        </w:rPr>
        <w:t> </w:t>
      </w:r>
      <w:r w:rsidRPr="003C4830">
        <w:rPr>
          <w:rFonts w:ascii="仿宋_gb2312" w:eastAsia="仿宋_gb2312" w:hAnsi="微软雅黑" w:cs="宋体" w:hint="eastAsia"/>
          <w:color w:val="313131"/>
          <w:kern w:val="0"/>
          <w:sz w:val="32"/>
          <w:szCs w:val="32"/>
        </w:rPr>
        <w:t>全国哲学社会科学规划领导小组关于印发&lt;国家社会科学基金项目资金管理办法&gt;的通知》（财教〔2016〕304号)同时废止。</w:t>
      </w:r>
    </w:p>
    <w:p w:rsidR="003C4830" w:rsidRPr="003C4830" w:rsidRDefault="003C4830" w:rsidP="003C4830">
      <w:pPr>
        <w:widowControl/>
        <w:spacing w:line="338" w:lineRule="atLeast"/>
        <w:ind w:firstLine="645"/>
        <w:jc w:val="left"/>
        <w:rPr>
          <w:rFonts w:ascii="微软雅黑" w:eastAsia="微软雅黑" w:hAnsi="微软雅黑" w:cs="宋体" w:hint="eastAsia"/>
          <w:color w:val="313131"/>
          <w:kern w:val="0"/>
          <w:sz w:val="23"/>
          <w:szCs w:val="23"/>
        </w:rPr>
      </w:pPr>
      <w:r w:rsidRPr="003C4830">
        <w:rPr>
          <w:rFonts w:ascii="微软雅黑" w:eastAsia="微软雅黑" w:hAnsi="微软雅黑" w:cs="宋体" w:hint="eastAsia"/>
          <w:color w:val="333333"/>
          <w:kern w:val="0"/>
          <w:sz w:val="18"/>
          <w:szCs w:val="18"/>
          <w:shd w:val="clear" w:color="auto" w:fill="FFFFFF"/>
        </w:rPr>
        <w:t>来源：</w:t>
      </w:r>
      <w:hyperlink r:id="rId5" w:tgtFrame="_blank" w:history="1">
        <w:r w:rsidRPr="003C4830">
          <w:rPr>
            <w:rFonts w:ascii="微软雅黑" w:eastAsia="微软雅黑" w:hAnsi="微软雅黑" w:cs="宋体" w:hint="eastAsia"/>
            <w:color w:val="000000"/>
            <w:kern w:val="0"/>
            <w:sz w:val="18"/>
            <w:szCs w:val="18"/>
            <w:u w:val="single"/>
            <w:shd w:val="clear" w:color="auto" w:fill="FFFFFF"/>
          </w:rPr>
          <w:t>全国哲学社会科学工作办公室</w:t>
        </w:r>
      </w:hyperlink>
    </w:p>
    <w:p w:rsidR="003C4830" w:rsidRPr="003C4830" w:rsidRDefault="003C4830" w:rsidP="003C4830">
      <w:pPr>
        <w:widowControl/>
        <w:shd w:val="clear" w:color="auto" w:fill="FFFFFF"/>
        <w:spacing w:after="270" w:line="540" w:lineRule="atLeast"/>
        <w:ind w:firstLine="480"/>
        <w:jc w:val="right"/>
        <w:rPr>
          <w:rFonts w:ascii="microsoft yahei" w:eastAsia="微软雅黑" w:hAnsi="microsoft yahei" w:cs="宋体" w:hint="eastAsia"/>
          <w:color w:val="333333"/>
          <w:kern w:val="0"/>
          <w:sz w:val="27"/>
          <w:szCs w:val="27"/>
        </w:rPr>
      </w:pPr>
    </w:p>
    <w:p w:rsidR="0040762B" w:rsidRDefault="0040762B"/>
    <w:sectPr w:rsidR="00407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46"/>
    <w:rsid w:val="003C4830"/>
    <w:rsid w:val="0040762B"/>
    <w:rsid w:val="0056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3D972-B041-43AB-B1EE-FEDF8125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C48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4830"/>
    <w:rPr>
      <w:rFonts w:ascii="宋体" w:eastAsia="宋体" w:hAnsi="宋体" w:cs="宋体"/>
      <w:b/>
      <w:bCs/>
      <w:kern w:val="36"/>
      <w:sz w:val="48"/>
      <w:szCs w:val="48"/>
    </w:rPr>
  </w:style>
  <w:style w:type="paragraph" w:customStyle="1" w:styleId="arti-metas">
    <w:name w:val="arti-metas"/>
    <w:basedOn w:val="a"/>
    <w:rsid w:val="003C4830"/>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3C4830"/>
  </w:style>
  <w:style w:type="paragraph" w:styleId="a3">
    <w:name w:val="Normal (Web)"/>
    <w:basedOn w:val="a"/>
    <w:uiPriority w:val="99"/>
    <w:semiHidden/>
    <w:unhideWhenUsed/>
    <w:rsid w:val="003C483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C48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82758">
      <w:bodyDiv w:val="1"/>
      <w:marLeft w:val="0"/>
      <w:marRight w:val="0"/>
      <w:marTop w:val="0"/>
      <w:marBottom w:val="0"/>
      <w:divBdr>
        <w:top w:val="none" w:sz="0" w:space="0" w:color="auto"/>
        <w:left w:val="none" w:sz="0" w:space="0" w:color="auto"/>
        <w:bottom w:val="none" w:sz="0" w:space="0" w:color="auto"/>
        <w:right w:val="none" w:sz="0" w:space="0" w:color="auto"/>
      </w:divBdr>
      <w:divsChild>
        <w:div w:id="528379092">
          <w:marLeft w:val="60"/>
          <w:marRight w:val="60"/>
          <w:marTop w:val="0"/>
          <w:marBottom w:val="0"/>
          <w:divBdr>
            <w:top w:val="none" w:sz="0" w:space="0" w:color="auto"/>
            <w:left w:val="none" w:sz="0" w:space="0" w:color="auto"/>
            <w:bottom w:val="none" w:sz="0" w:space="0" w:color="auto"/>
            <w:right w:val="none" w:sz="0" w:space="0" w:color="auto"/>
          </w:divBdr>
          <w:divsChild>
            <w:div w:id="1309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pss.gov.cn/n1/2021/1110/c431036-32278518.html" TargetMode="External"/><Relationship Id="rId4" Type="http://schemas.openxmlformats.org/officeDocument/2006/relationships/hyperlink" Target="https://www.sju.edu.cn/_upload/article/files/06/2c/ae79d2a545a8b0e0359c2fe53396/c73be75e-edef-4cea-9876-d25a8935b4a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1012</Words>
  <Characters>5774</Characters>
  <Application>Microsoft Office Word</Application>
  <DocSecurity>0</DocSecurity>
  <Lines>48</Lines>
  <Paragraphs>13</Paragraphs>
  <ScaleCrop>false</ScaleCrop>
  <Company>Microsoft</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cp:lastModifiedBy>
  <cp:revision>2</cp:revision>
  <dcterms:created xsi:type="dcterms:W3CDTF">2022-05-27T07:25:00Z</dcterms:created>
  <dcterms:modified xsi:type="dcterms:W3CDTF">2022-05-27T07:25:00Z</dcterms:modified>
</cp:coreProperties>
</file>