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77" w:rsidRPr="00825FD9" w:rsidRDefault="00057177" w:rsidP="00057177">
      <w:pPr>
        <w:spacing w:line="560" w:lineRule="exact"/>
        <w:ind w:firstLineChars="350" w:firstLine="1120"/>
        <w:rPr>
          <w:rStyle w:val="articletitle"/>
          <w:rFonts w:ascii="宋体" w:hAnsi="宋体"/>
          <w:b/>
          <w:bCs/>
          <w:color w:val="000000"/>
          <w:sz w:val="32"/>
          <w:szCs w:val="32"/>
        </w:rPr>
      </w:pPr>
      <w:r w:rsidRPr="00825FD9">
        <w:rPr>
          <w:rStyle w:val="articletitle"/>
          <w:rFonts w:ascii="宋体" w:hAnsi="宋体" w:hint="eastAsia"/>
          <w:b/>
          <w:bCs/>
          <w:color w:val="000000"/>
          <w:sz w:val="32"/>
          <w:szCs w:val="32"/>
        </w:rPr>
        <w:t>三江学院条幅、橱窗、</w:t>
      </w:r>
      <w:r w:rsidRPr="00825FD9">
        <w:rPr>
          <w:rStyle w:val="articletitle"/>
          <w:rFonts w:ascii="宋体" w:hAnsi="宋体"/>
          <w:b/>
          <w:bCs/>
          <w:color w:val="000000"/>
          <w:sz w:val="32"/>
          <w:szCs w:val="32"/>
        </w:rPr>
        <w:t>LED</w:t>
      </w:r>
      <w:r w:rsidRPr="00825FD9">
        <w:rPr>
          <w:rStyle w:val="articletitle"/>
          <w:rFonts w:ascii="宋体" w:hAnsi="宋体" w:hint="eastAsia"/>
          <w:b/>
          <w:bCs/>
          <w:color w:val="000000"/>
          <w:sz w:val="32"/>
          <w:szCs w:val="32"/>
        </w:rPr>
        <w:t>显示屏管理规定</w:t>
      </w:r>
    </w:p>
    <w:p w:rsidR="00057177" w:rsidRPr="00862A4E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为了规范三江学院宣传条幅、橱窗、</w:t>
      </w:r>
      <w:r w:rsidRPr="00862A4E">
        <w:rPr>
          <w:rFonts w:ascii="仿宋_GB2312" w:eastAsia="仿宋_GB2312" w:hAnsi="仿宋"/>
          <w:color w:val="000000"/>
          <w:sz w:val="28"/>
          <w:szCs w:val="28"/>
        </w:rPr>
        <w:t>LED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显示屏的管理工作，加强环境舆论导向，创建安全整洁、文明高雅的校园环境，营造良好的育人氛围，使校园文明建设进一步制度化、规范化，党委宣传部特在原有条幅、橱窗、</w:t>
      </w:r>
      <w:r w:rsidRPr="00862A4E">
        <w:rPr>
          <w:rFonts w:ascii="仿宋_GB2312" w:eastAsia="仿宋_GB2312" w:hAnsi="仿宋"/>
          <w:color w:val="000000"/>
          <w:sz w:val="28"/>
          <w:szCs w:val="28"/>
        </w:rPr>
        <w:t>LED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显示屏管理规定的基础上，完善制定新的《三江学院校园宣传条幅、橱窗、</w:t>
      </w:r>
      <w:r w:rsidRPr="00862A4E">
        <w:rPr>
          <w:rFonts w:ascii="仿宋_GB2312" w:eastAsia="仿宋_GB2312" w:hAnsi="仿宋"/>
          <w:color w:val="000000"/>
          <w:sz w:val="28"/>
          <w:szCs w:val="28"/>
        </w:rPr>
        <w:t>LED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管理规定》。</w:t>
      </w:r>
    </w:p>
    <w:p w:rsidR="00057177" w:rsidRPr="00B14FD4" w:rsidRDefault="00057177" w:rsidP="008A19AE">
      <w:pPr>
        <w:pStyle w:val="ListParagraph"/>
        <w:spacing w:line="500" w:lineRule="exact"/>
        <w:ind w:left="720" w:firstLineChars="800" w:firstLine="2240"/>
        <w:rPr>
          <w:rFonts w:ascii="黑体" w:eastAsia="黑体" w:hAnsi="黑体"/>
          <w:color w:val="000000"/>
          <w:sz w:val="28"/>
          <w:szCs w:val="28"/>
        </w:rPr>
      </w:pPr>
      <w:r w:rsidRPr="00B14FD4">
        <w:rPr>
          <w:rFonts w:ascii="黑体" w:eastAsia="黑体" w:hAnsi="黑体" w:hint="eastAsia"/>
          <w:color w:val="000000"/>
          <w:sz w:val="28"/>
          <w:szCs w:val="28"/>
        </w:rPr>
        <w:t>一、条幅管理规定</w:t>
      </w:r>
    </w:p>
    <w:p w:rsidR="00057177" w:rsidRPr="007E0F74" w:rsidRDefault="00057177" w:rsidP="008A19AE">
      <w:pPr>
        <w:spacing w:after="0" w:line="500" w:lineRule="exact"/>
        <w:ind w:firstLineChars="196" w:firstLine="551"/>
        <w:rPr>
          <w:rFonts w:ascii="仿宋_GB2312" w:eastAsia="仿宋_GB2312" w:hAnsi="仿宋"/>
          <w:b/>
          <w:color w:val="000000"/>
          <w:sz w:val="28"/>
          <w:szCs w:val="28"/>
        </w:rPr>
      </w:pPr>
      <w:r w:rsidRPr="007E0F74">
        <w:rPr>
          <w:rFonts w:ascii="仿宋_GB2312" w:eastAsia="仿宋_GB2312" w:hAnsi="仿宋" w:hint="eastAsia"/>
          <w:b/>
          <w:color w:val="000000"/>
          <w:sz w:val="28"/>
          <w:szCs w:val="28"/>
        </w:rPr>
        <w:t>（一）条幅管理原则</w:t>
      </w:r>
    </w:p>
    <w:p w:rsidR="00057177" w:rsidRPr="00862A4E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坚持党的四项基本原则，坚持“正面宣传、积极引导、弘扬主旋律”，适应三江学院精神文明建设和校园环境综合治理需要，建立健全宣传条幅管理工作制度，创造良好的政治氛围和人文环境。</w:t>
      </w:r>
    </w:p>
    <w:p w:rsidR="00057177" w:rsidRPr="00862A4E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同时，为创建节约型校园，各学院、各部门应积极充分利用现代宣传媒介，如校园网、电子显示屏来发布信息，最大限度地减少条幅、海报的制作数量。</w:t>
      </w:r>
    </w:p>
    <w:p w:rsidR="00057177" w:rsidRDefault="00057177" w:rsidP="008A19AE">
      <w:pPr>
        <w:pStyle w:val="ListParagraph"/>
        <w:spacing w:line="500" w:lineRule="exact"/>
        <w:ind w:firstLineChars="196" w:firstLine="551"/>
        <w:rPr>
          <w:rFonts w:ascii="仿宋_GB2312" w:eastAsia="仿宋_GB2312" w:hAnsi="仿宋" w:hint="eastAsia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/>
          <w:sz w:val="28"/>
          <w:szCs w:val="28"/>
        </w:rPr>
        <w:t>（二）</w:t>
      </w:r>
      <w:r w:rsidRPr="007E0F74">
        <w:rPr>
          <w:rFonts w:ascii="仿宋_GB2312" w:eastAsia="仿宋_GB2312" w:hAnsi="仿宋" w:hint="eastAsia"/>
          <w:b/>
          <w:color w:val="000000"/>
          <w:sz w:val="28"/>
          <w:szCs w:val="28"/>
        </w:rPr>
        <w:t>条幅悬挂章程</w:t>
      </w:r>
    </w:p>
    <w:p w:rsidR="00057177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/>
          <w:color w:val="000000"/>
          <w:sz w:val="28"/>
          <w:szCs w:val="28"/>
        </w:rPr>
        <w:t>1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、管理分工与条幅悬挂流程：校园条幅管理由党委宣传部、各学院、各部门共同管理。具体管理职责分工如下：</w:t>
      </w:r>
    </w:p>
    <w:p w:rsidR="00057177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（</w:t>
      </w:r>
      <w:r w:rsidRPr="00862A4E">
        <w:rPr>
          <w:rFonts w:ascii="仿宋_GB2312" w:eastAsia="仿宋_GB2312" w:hAnsi="仿宋"/>
          <w:color w:val="000000"/>
          <w:sz w:val="28"/>
          <w:szCs w:val="28"/>
        </w:rPr>
        <w:t>1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）党委宣传部负责审批各学院、各部门提交的《条幅悬挂申请表》，对悬挂内容、悬挂位置进行宏观指导和调整。定时对条幅进行巡查，如发现异常情况，应及时处理并联系相关负责人。</w:t>
      </w:r>
    </w:p>
    <w:p w:rsidR="00057177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（</w:t>
      </w:r>
      <w:r w:rsidRPr="00862A4E">
        <w:rPr>
          <w:rFonts w:ascii="仿宋_GB2312" w:eastAsia="仿宋_GB2312" w:hAnsi="仿宋"/>
          <w:color w:val="000000"/>
          <w:sz w:val="28"/>
          <w:szCs w:val="28"/>
        </w:rPr>
        <w:t>2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）学院（部门）必须规范地悬挂条幅，并在条幅右下角背面用圆珠笔或签字笔标注条幅悬挂时间。每条制作的条幅，均需在右下角落款</w:t>
      </w:r>
      <w:r w:rsidRPr="00862A4E">
        <w:rPr>
          <w:rFonts w:ascii="仿宋_GB2312" w:eastAsia="仿宋_GB2312" w:hAnsi="仿宋"/>
          <w:color w:val="000000"/>
          <w:sz w:val="28"/>
          <w:szCs w:val="28"/>
        </w:rPr>
        <w:t>XX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学院（部门）宣。在条幅悬挂期间，学院（部门）要定时检查条幅情况，一旦条幅脱落或损毁，要及时处理好。</w:t>
      </w:r>
    </w:p>
    <w:p w:rsidR="00057177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（</w:t>
      </w:r>
      <w:r w:rsidRPr="00862A4E">
        <w:rPr>
          <w:rFonts w:ascii="仿宋_GB2312" w:eastAsia="仿宋_GB2312" w:hAnsi="仿宋"/>
          <w:color w:val="000000"/>
          <w:sz w:val="28"/>
          <w:szCs w:val="28"/>
        </w:rPr>
        <w:t>3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）条幅悬挂流程为：党委宣传部网站下载《三江学院条幅悬挂申请表》并认真填写――学院、部门领导审核并加盖本单位公章――交党委宣传部审批――各学院、各部门按照各悬挂点的横幅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尺寸自行制作并悬挂条幅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057177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/>
          <w:color w:val="000000"/>
          <w:sz w:val="28"/>
          <w:szCs w:val="28"/>
        </w:rPr>
        <w:t>2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、条幅内容：</w:t>
      </w:r>
    </w:p>
    <w:p w:rsidR="00057177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（</w:t>
      </w:r>
      <w:r w:rsidRPr="00862A4E">
        <w:rPr>
          <w:rFonts w:ascii="仿宋_GB2312" w:eastAsia="仿宋_GB2312" w:hAnsi="仿宋"/>
          <w:color w:val="000000"/>
          <w:sz w:val="28"/>
          <w:szCs w:val="28"/>
        </w:rPr>
        <w:t>1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）条幅的内容必须合法、健康、向上，符合当时的宣传要求。严禁在校区内悬挂违反法律和道德内容的条幅。</w:t>
      </w:r>
    </w:p>
    <w:p w:rsidR="00057177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（</w:t>
      </w:r>
      <w:r w:rsidRPr="00862A4E">
        <w:rPr>
          <w:rFonts w:ascii="仿宋_GB2312" w:eastAsia="仿宋_GB2312" w:hAnsi="仿宋"/>
          <w:color w:val="000000"/>
          <w:sz w:val="28"/>
          <w:szCs w:val="28"/>
        </w:rPr>
        <w:t>2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）悬挂条幅的主题内容必须与《条幅悬挂申请表》上审批确认的主题内容一致，如有不同，则一律不予悬挂。</w:t>
      </w:r>
    </w:p>
    <w:p w:rsidR="00057177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（</w:t>
      </w:r>
      <w:r w:rsidRPr="00862A4E">
        <w:rPr>
          <w:rFonts w:ascii="仿宋_GB2312" w:eastAsia="仿宋_GB2312" w:hAnsi="仿宋"/>
          <w:color w:val="000000"/>
          <w:sz w:val="28"/>
          <w:szCs w:val="28"/>
        </w:rPr>
        <w:t>3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）禁止在教学区内悬挂以下性质的宣传条幅：</w:t>
      </w:r>
      <w:r w:rsidRPr="00862A4E">
        <w:rPr>
          <w:rFonts w:ascii="仿宋_GB2312" w:eastAsia="仿宋_GB2312" w:hAnsi="仿宋"/>
          <w:color w:val="000000"/>
          <w:sz w:val="28"/>
          <w:szCs w:val="28"/>
        </w:rPr>
        <w:t>A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、未经审核审批或在非规范性位置悬挂的宣传条幅。</w:t>
      </w:r>
      <w:r w:rsidRPr="00862A4E">
        <w:rPr>
          <w:rFonts w:ascii="仿宋_GB2312" w:eastAsia="仿宋_GB2312" w:hAnsi="仿宋"/>
          <w:color w:val="000000"/>
          <w:sz w:val="28"/>
          <w:szCs w:val="28"/>
        </w:rPr>
        <w:t>B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、校内外经营单位的纯商业性宣传条幅。</w:t>
      </w:r>
    </w:p>
    <w:p w:rsidR="00057177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/>
          <w:color w:val="000000"/>
          <w:sz w:val="28"/>
          <w:szCs w:val="28"/>
        </w:rPr>
        <w:t>3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、条幅悬挂时间。各学院、各部门申请的条幅悬挂时段原则上为一周，周期性的活动申请时间最多不超过半个月。条幅悬挂单位在悬挂时段内应保证条幅的完好、整洁。</w:t>
      </w:r>
    </w:p>
    <w:p w:rsidR="00057177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/>
          <w:color w:val="000000"/>
          <w:sz w:val="28"/>
          <w:szCs w:val="28"/>
        </w:rPr>
        <w:t>4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、具有赞助性活动的条幅上，不得出现赞助商的地址、电话、广告语以及与本活动主题不切合的语言。如确有需要，可在条幅主标题左上角用小于主标题的字号标注赞助商的名称，但名称长度原则上不能超过主题内容长度的五分之一。</w:t>
      </w:r>
    </w:p>
    <w:p w:rsidR="00057177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/>
          <w:color w:val="000000"/>
          <w:sz w:val="28"/>
          <w:szCs w:val="28"/>
        </w:rPr>
        <w:t>5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、已在规定地点悬挂的条幅，各学院、各部门不可随意移动，如有需要，请与党委宣传部联系，由党委宣传部统筹安排。</w:t>
      </w:r>
    </w:p>
    <w:p w:rsidR="00057177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/>
          <w:color w:val="000000"/>
          <w:sz w:val="28"/>
          <w:szCs w:val="28"/>
        </w:rPr>
        <w:t>6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、如遇特殊情况，需在指定地点以外悬挂条幅，请事先通知党委宣传部，党委宣传部将视具体情况，研究决定。</w:t>
      </w:r>
    </w:p>
    <w:p w:rsidR="00057177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/>
          <w:color w:val="000000"/>
          <w:sz w:val="28"/>
          <w:szCs w:val="28"/>
        </w:rPr>
        <w:t>7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、党委宣传部原则性不为各学院、各部门制作横幅，如遇全校性重大活动，比如迎新、校运会等重大的全校性活动，条幅可由党委宣传部代为制作。此时各学院、各部门需至少提前三天填写《条幅制作申请单》，详细填写条幅内容、需要悬挂的地点等内容，并报本学院、本部门领导签字审核后，交由党委宣传部，党委宣传部方可按照规定给予制作和布置到位。</w:t>
      </w:r>
    </w:p>
    <w:p w:rsidR="00057177" w:rsidRPr="00862A4E" w:rsidRDefault="00057177" w:rsidP="008A19AE">
      <w:pPr>
        <w:pStyle w:val="ListParagraph"/>
        <w:spacing w:line="500" w:lineRule="exact"/>
        <w:ind w:firstLine="560"/>
        <w:rPr>
          <w:rFonts w:ascii="仿宋_GB2312" w:eastAsia="仿宋_GB2312" w:hAnsi="仿宋"/>
          <w:color w:val="000000"/>
          <w:sz w:val="28"/>
          <w:szCs w:val="28"/>
        </w:rPr>
      </w:pPr>
      <w:r w:rsidRPr="00862A4E">
        <w:rPr>
          <w:rFonts w:ascii="仿宋_GB2312" w:eastAsia="仿宋_GB2312" w:hAnsi="仿宋"/>
          <w:color w:val="000000"/>
          <w:sz w:val="28"/>
          <w:szCs w:val="28"/>
        </w:rPr>
        <w:t>8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、本《规定》自公布之日起实行。</w:t>
      </w:r>
    </w:p>
    <w:p w:rsidR="00057177" w:rsidRPr="00B14FD4" w:rsidRDefault="00057177" w:rsidP="008A19AE">
      <w:pPr>
        <w:spacing w:after="0" w:line="500" w:lineRule="exact"/>
        <w:ind w:firstLine="200"/>
        <w:jc w:val="center"/>
        <w:rPr>
          <w:rStyle w:val="ad"/>
          <w:rFonts w:ascii="黑体" w:eastAsia="黑体" w:hAnsi="黑体"/>
          <w:color w:val="000000"/>
          <w:sz w:val="28"/>
          <w:szCs w:val="28"/>
        </w:rPr>
      </w:pPr>
      <w:r w:rsidRPr="00B14FD4">
        <w:rPr>
          <w:rFonts w:ascii="黑体" w:eastAsia="黑体" w:hAnsi="黑体" w:cs="宋体" w:hint="eastAsia"/>
          <w:bCs/>
          <w:color w:val="000000"/>
          <w:sz w:val="28"/>
          <w:szCs w:val="28"/>
        </w:rPr>
        <w:lastRenderedPageBreak/>
        <w:t>二、宣传橱窗管理规定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为了有效地配合学校宣传，作好宣传管理工作，规范宣传橱窗的使用管理，提高宣传工具的使用效果，营造和谐有序的校园环境，特规定如下：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1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、学校宣传橱窗所有权归学校，由党委宣传部负责协调督促管理，各学院、各部门根据分派享有使用权。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2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、各学院、各部门要严格依据《三江学院宣传橱窗分配表》中的分配方案，明确橱窗管理的地点和数量。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3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、各学院、各部门必须指定专人负责宣传橱窗的管理、保养工作。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4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、各学院、各部门负责各自宣传橱窗的内容更替、形象管理。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5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、各学院、各部门必须保证宣传橱窗内容的正面性、正确性、健康性、美观性。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6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、橱窗宣传如出现违法的、不健康的内容，产生不良的影响或后果，将追究该宣传橱窗使用者的责任。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7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、宣传橱窗的使用权原则上不允许使用者之间随意调换，如特殊需要，可通过党委宣传部协商解决。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8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、宣传橱窗的增减必须经由宣传部审核同意，后勤部门实施。各学院、各部门不得自主增减宣传橱窗。</w:t>
      </w:r>
    </w:p>
    <w:p w:rsidR="00057177" w:rsidRPr="00862A4E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9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、本规定自发布之日起生效。</w:t>
      </w:r>
    </w:p>
    <w:p w:rsidR="00057177" w:rsidRPr="00B14FD4" w:rsidRDefault="00057177" w:rsidP="008A19AE">
      <w:pPr>
        <w:spacing w:after="0" w:line="500" w:lineRule="exact"/>
        <w:ind w:firstLine="200"/>
        <w:jc w:val="center"/>
        <w:rPr>
          <w:rFonts w:ascii="黑体" w:eastAsia="黑体" w:hAnsi="黑体" w:cs="宋体"/>
          <w:color w:val="000000"/>
          <w:sz w:val="28"/>
          <w:szCs w:val="28"/>
        </w:rPr>
      </w:pPr>
      <w:r w:rsidRPr="00B14FD4">
        <w:rPr>
          <w:rFonts w:ascii="黑体" w:eastAsia="黑体" w:hAnsi="黑体" w:cs="宋体" w:hint="eastAsia"/>
          <w:color w:val="000000"/>
          <w:sz w:val="28"/>
          <w:szCs w:val="28"/>
        </w:rPr>
        <w:t>三、</w:t>
      </w:r>
      <w:r w:rsidRPr="00B14FD4">
        <w:rPr>
          <w:rFonts w:ascii="黑体" w:eastAsia="黑体" w:hAnsi="黑体" w:cs="宋体"/>
          <w:bCs/>
          <w:color w:val="000000"/>
          <w:sz w:val="28"/>
          <w:szCs w:val="28"/>
        </w:rPr>
        <w:t>LED</w:t>
      </w:r>
      <w:r w:rsidRPr="00B14FD4">
        <w:rPr>
          <w:rFonts w:ascii="黑体" w:eastAsia="黑体" w:hAnsi="黑体" w:cs="宋体" w:hint="eastAsia"/>
          <w:bCs/>
          <w:color w:val="000000"/>
          <w:sz w:val="28"/>
          <w:szCs w:val="28"/>
        </w:rPr>
        <w:t>显示屏信息发布管理制度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为使</w:t>
      </w: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LED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显示屏信息发布工作规范化、制度化，保证学校信息发布的权威性、及时性，更好地展示学校风貌，为师生员工服务，特制定本制度。</w:t>
      </w:r>
    </w:p>
    <w:p w:rsidR="00057177" w:rsidRDefault="00057177" w:rsidP="008A19AE">
      <w:pPr>
        <w:spacing w:after="0" w:line="500" w:lineRule="exact"/>
        <w:ind w:firstLineChars="200" w:firstLine="562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E05E2A">
        <w:rPr>
          <w:rFonts w:ascii="仿宋_GB2312" w:eastAsia="仿宋_GB2312" w:hAnsi="仿宋" w:cs="宋体" w:hint="eastAsia"/>
          <w:b/>
          <w:color w:val="000000"/>
          <w:sz w:val="28"/>
          <w:szCs w:val="28"/>
        </w:rPr>
        <w:t>（一）管理部门与分工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1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、党委宣传部负责</w:t>
      </w: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LED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显示屏信息的内容审核及政治审查。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2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、现代教育技术中心负责</w:t>
      </w: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LED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显示屏信息的制作、发布与管理。</w:t>
      </w:r>
    </w:p>
    <w:p w:rsidR="00057177" w:rsidRPr="00B14FD4" w:rsidRDefault="00057177" w:rsidP="008A19AE">
      <w:pPr>
        <w:spacing w:after="0" w:line="500" w:lineRule="exact"/>
        <w:ind w:firstLineChars="200" w:firstLine="562"/>
        <w:rPr>
          <w:rFonts w:ascii="仿宋_GB2312" w:eastAsia="仿宋_GB2312" w:hAnsi="仿宋" w:cs="宋体"/>
          <w:color w:val="000000"/>
          <w:sz w:val="28"/>
          <w:szCs w:val="28"/>
        </w:rPr>
      </w:pPr>
      <w:r w:rsidRPr="00E05E2A">
        <w:rPr>
          <w:rFonts w:ascii="仿宋_GB2312" w:eastAsia="仿宋_GB2312" w:hAnsi="仿宋" w:cs="宋体" w:hint="eastAsia"/>
          <w:b/>
          <w:color w:val="000000"/>
          <w:sz w:val="28"/>
          <w:szCs w:val="28"/>
        </w:rPr>
        <w:lastRenderedPageBreak/>
        <w:t>（二）</w:t>
      </w:r>
      <w:r w:rsidRPr="00E05E2A">
        <w:rPr>
          <w:rFonts w:ascii="仿宋_GB2312" w:eastAsia="仿宋_GB2312" w:hAnsi="仿宋" w:cs="宋体"/>
          <w:b/>
          <w:color w:val="000000"/>
          <w:sz w:val="28"/>
          <w:szCs w:val="28"/>
        </w:rPr>
        <w:t>LED</w:t>
      </w:r>
      <w:r w:rsidRPr="00E05E2A">
        <w:rPr>
          <w:rFonts w:ascii="仿宋_GB2312" w:eastAsia="仿宋_GB2312" w:hAnsi="仿宋" w:cs="宋体" w:hint="eastAsia"/>
          <w:b/>
          <w:color w:val="000000"/>
          <w:sz w:val="28"/>
          <w:szCs w:val="28"/>
        </w:rPr>
        <w:t>显示屏信息的内容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遵循积极、健康、向上的导向，准确、及时地反映学校教学、科研、行政管理方面等各项工作的最新动态：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1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、行政管理信息：包括学校各部门介绍性的资料，招生就业信息、各项重大活动宣传资料、对外交流的资料、重大新闻、通知及欢迎词等。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2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、教学信息：包括专业介绍、课程介绍、教学课件、教学活动和课表安排等。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3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、科研信息：包括科研成果、获奖资料、科研项目申报等。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4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、校园文化活动信息：包括学术讲座、专家报告、文艺演出、社团活动等。</w:t>
      </w:r>
    </w:p>
    <w:p w:rsidR="00057177" w:rsidRDefault="00057177" w:rsidP="008A19AE">
      <w:pPr>
        <w:spacing w:after="0" w:line="500" w:lineRule="exact"/>
        <w:ind w:firstLineChars="200" w:firstLine="562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E05E2A">
        <w:rPr>
          <w:rFonts w:ascii="仿宋_GB2312" w:eastAsia="仿宋_GB2312" w:hAnsi="仿宋" w:cs="宋体" w:hint="eastAsia"/>
          <w:b/>
          <w:color w:val="000000"/>
          <w:sz w:val="28"/>
          <w:szCs w:val="28"/>
        </w:rPr>
        <w:t>（三）发布</w:t>
      </w:r>
      <w:r w:rsidRPr="00E05E2A">
        <w:rPr>
          <w:rFonts w:ascii="仿宋_GB2312" w:eastAsia="仿宋_GB2312" w:hAnsi="仿宋" w:cs="宋体"/>
          <w:b/>
          <w:color w:val="000000"/>
          <w:sz w:val="28"/>
          <w:szCs w:val="28"/>
        </w:rPr>
        <w:t>LED</w:t>
      </w:r>
      <w:r w:rsidRPr="00E05E2A">
        <w:rPr>
          <w:rFonts w:ascii="仿宋_GB2312" w:eastAsia="仿宋_GB2312" w:hAnsi="仿宋" w:cs="宋体" w:hint="eastAsia"/>
          <w:b/>
          <w:color w:val="000000"/>
          <w:sz w:val="28"/>
          <w:szCs w:val="28"/>
        </w:rPr>
        <w:t>显示屏信息的流程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1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、在现代教育技术中心网站下载“</w:t>
      </w: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LED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大屏幕信息发布申请表”。</w:t>
      </w:r>
    </w:p>
    <w:p w:rsidR="008A19AE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2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、各部门提供的信息由各部门信息员撰写</w:t>
      </w: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,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经部门负责人审核批准。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3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、将申请表交至党委宣传部审核</w:t>
      </w: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,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并确定信息发布有效时间。</w:t>
      </w:r>
    </w:p>
    <w:p w:rsidR="00057177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4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、将审核后的申请表交至现代教育技术中心数字媒体技术部备案，并将有关信息的电子文档通过电子邮件发送到数字媒体技术部。由数字媒体技术部负责</w:t>
      </w: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LED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显示屏信息的制作、发布。</w:t>
      </w:r>
    </w:p>
    <w:p w:rsidR="00057177" w:rsidRPr="00B14FD4" w:rsidRDefault="00057177" w:rsidP="008A19AE">
      <w:pPr>
        <w:spacing w:after="0" w:line="500" w:lineRule="exact"/>
        <w:ind w:firstLineChars="200" w:firstLine="562"/>
        <w:rPr>
          <w:rFonts w:ascii="仿宋_GB2312" w:eastAsia="仿宋_GB2312" w:hAnsi="仿宋" w:cs="宋体"/>
          <w:color w:val="000000"/>
          <w:sz w:val="28"/>
          <w:szCs w:val="28"/>
        </w:rPr>
      </w:pPr>
      <w:r w:rsidRPr="00E05E2A">
        <w:rPr>
          <w:rFonts w:ascii="仿宋_GB2312" w:eastAsia="仿宋_GB2312" w:hAnsi="仿宋" w:cs="宋体" w:hint="eastAsia"/>
          <w:b/>
          <w:color w:val="000000"/>
          <w:sz w:val="28"/>
          <w:szCs w:val="28"/>
        </w:rPr>
        <w:t>（四）信息发布原则</w:t>
      </w:r>
    </w:p>
    <w:p w:rsidR="00057177" w:rsidRPr="00862A4E" w:rsidRDefault="00057177" w:rsidP="008A19AE">
      <w:pPr>
        <w:spacing w:after="0" w:line="500" w:lineRule="exact"/>
        <w:ind w:firstLineChars="200" w:firstLine="560"/>
        <w:rPr>
          <w:rFonts w:ascii="仿宋_GB2312" w:eastAsia="仿宋_GB2312" w:hAnsi="仿宋" w:cs="宋体"/>
          <w:color w:val="000000"/>
          <w:sz w:val="28"/>
          <w:szCs w:val="28"/>
        </w:rPr>
      </w:pP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信息经审核后根据信息重要程度和时效性</w:t>
      </w:r>
      <w:r w:rsidRPr="00862A4E">
        <w:rPr>
          <w:rFonts w:ascii="仿宋_GB2312" w:eastAsia="仿宋_GB2312" w:hAnsi="仿宋" w:cs="宋体"/>
          <w:color w:val="000000"/>
          <w:sz w:val="28"/>
          <w:szCs w:val="28"/>
        </w:rPr>
        <w:t>,</w:t>
      </w:r>
      <w:r w:rsidRPr="00862A4E">
        <w:rPr>
          <w:rFonts w:ascii="仿宋_GB2312" w:eastAsia="仿宋_GB2312" w:hAnsi="仿宋" w:cs="宋体" w:hint="eastAsia"/>
          <w:color w:val="000000"/>
          <w:sz w:val="28"/>
          <w:szCs w:val="28"/>
        </w:rPr>
        <w:t>优先发布校级信息、重大信息和紧急信息。</w:t>
      </w:r>
    </w:p>
    <w:p w:rsidR="00057177" w:rsidRPr="00862A4E" w:rsidRDefault="00057177" w:rsidP="008A19AE">
      <w:pPr>
        <w:spacing w:after="0" w:line="500" w:lineRule="exact"/>
        <w:ind w:firstLineChars="200" w:firstLine="560"/>
        <w:textAlignment w:val="baseline"/>
        <w:rPr>
          <w:rFonts w:ascii="仿宋_GB2312" w:eastAsia="仿宋_GB2312" w:hAnsi="仿宋"/>
          <w:color w:val="000000"/>
          <w:sz w:val="28"/>
          <w:szCs w:val="28"/>
        </w:rPr>
      </w:pPr>
      <w:r w:rsidRPr="007535FB">
        <w:rPr>
          <w:rFonts w:ascii="仿宋_GB2312" w:eastAsia="仿宋_GB2312" w:hAnsi="仿宋" w:hint="eastAsia"/>
          <w:color w:val="000000"/>
          <w:sz w:val="28"/>
          <w:szCs w:val="28"/>
        </w:rPr>
        <w:t>附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1：</w:t>
      </w:r>
      <w:r w:rsidRPr="00862A4E">
        <w:rPr>
          <w:rFonts w:ascii="仿宋_GB2312" w:eastAsia="仿宋_GB2312" w:hAnsi="仿宋" w:hint="eastAsia"/>
          <w:color w:val="000000"/>
          <w:sz w:val="28"/>
          <w:szCs w:val="28"/>
        </w:rPr>
        <w:t>三江学院条幅悬挂点及相关资料表</w:t>
      </w:r>
    </w:p>
    <w:p w:rsidR="00057177" w:rsidRDefault="00057177" w:rsidP="008A19AE">
      <w:pPr>
        <w:spacing w:after="0" w:line="500" w:lineRule="exact"/>
        <w:textAlignment w:val="baseline"/>
        <w:rPr>
          <w:rFonts w:ascii="仿宋_GB2312" w:eastAsia="仿宋_GB2312" w:hAnsi="仿宋" w:hint="eastAsia"/>
          <w:bCs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 xml:space="preserve">    </w:t>
      </w:r>
      <w:r w:rsidRPr="007535FB">
        <w:rPr>
          <w:rFonts w:ascii="仿宋_GB2312" w:eastAsia="仿宋_GB2312" w:hAnsi="仿宋" w:hint="eastAsia"/>
          <w:color w:val="000000"/>
          <w:sz w:val="28"/>
          <w:szCs w:val="28"/>
        </w:rPr>
        <w:t>附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2：</w:t>
      </w:r>
      <w:r w:rsidRPr="00862A4E">
        <w:rPr>
          <w:rFonts w:ascii="仿宋_GB2312" w:eastAsia="仿宋_GB2312" w:hAnsi="仿宋" w:hint="eastAsia"/>
          <w:bCs/>
          <w:color w:val="000000"/>
          <w:sz w:val="28"/>
          <w:szCs w:val="28"/>
        </w:rPr>
        <w:t>条幅悬挂申请表</w:t>
      </w:r>
    </w:p>
    <w:p w:rsidR="00057177" w:rsidRPr="00862A4E" w:rsidRDefault="00057177" w:rsidP="008A19AE">
      <w:pPr>
        <w:spacing w:after="0" w:line="500" w:lineRule="exact"/>
        <w:ind w:firstLineChars="200" w:firstLine="560"/>
        <w:textAlignment w:val="baseline"/>
        <w:rPr>
          <w:rFonts w:ascii="仿宋_GB2312" w:eastAsia="仿宋_GB2312" w:hAnsi="仿宋"/>
          <w:bCs/>
          <w:color w:val="000000"/>
          <w:sz w:val="28"/>
          <w:szCs w:val="28"/>
        </w:rPr>
      </w:pPr>
      <w:r w:rsidRPr="007535FB">
        <w:rPr>
          <w:rFonts w:ascii="仿宋_GB2312" w:eastAsia="仿宋_GB2312" w:hAnsi="仿宋" w:hint="eastAsia"/>
          <w:color w:val="000000"/>
          <w:sz w:val="28"/>
          <w:szCs w:val="28"/>
        </w:rPr>
        <w:t>附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3：</w:t>
      </w:r>
      <w:r w:rsidRPr="00862A4E">
        <w:rPr>
          <w:rFonts w:ascii="仿宋_GB2312" w:eastAsia="仿宋_GB2312" w:hAnsi="仿宋" w:hint="eastAsia"/>
          <w:bCs/>
          <w:color w:val="000000"/>
          <w:sz w:val="28"/>
          <w:szCs w:val="28"/>
        </w:rPr>
        <w:t>三江学院宣传橱窗分配表</w:t>
      </w:r>
    </w:p>
    <w:p w:rsidR="00057177" w:rsidRDefault="00057177" w:rsidP="005C2F67">
      <w:pPr>
        <w:textAlignment w:val="baseline"/>
        <w:rPr>
          <w:rFonts w:ascii="仿宋_GB2312" w:eastAsia="仿宋_GB2312" w:hAnsi="宋体"/>
          <w:color w:val="000000"/>
          <w:sz w:val="32"/>
          <w:szCs w:val="32"/>
        </w:rPr>
      </w:pPr>
    </w:p>
    <w:p w:rsidR="00057177" w:rsidRPr="007535FB" w:rsidRDefault="00057177" w:rsidP="005C2F67">
      <w:pPr>
        <w:textAlignment w:val="baseline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附</w:t>
      </w:r>
      <w:r>
        <w:rPr>
          <w:rFonts w:ascii="仿宋_GB2312" w:eastAsia="仿宋_GB2312" w:hAnsi="宋体"/>
          <w:color w:val="000000"/>
          <w:sz w:val="32"/>
          <w:szCs w:val="32"/>
        </w:rPr>
        <w:t>1</w:t>
      </w:r>
      <w:r w:rsidRPr="007535FB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057177" w:rsidRPr="008A19AE" w:rsidRDefault="00057177" w:rsidP="005C2F67">
      <w:pPr>
        <w:jc w:val="center"/>
        <w:textAlignment w:val="baseline"/>
        <w:rPr>
          <w:rFonts w:ascii="仿宋_GB2312" w:eastAsia="仿宋_GB2312" w:hAnsi="宋体" w:hint="eastAsia"/>
          <w:b/>
          <w:color w:val="000000"/>
          <w:sz w:val="28"/>
          <w:szCs w:val="28"/>
        </w:rPr>
      </w:pPr>
      <w:r w:rsidRPr="008A19AE">
        <w:rPr>
          <w:rFonts w:ascii="仿宋_GB2312" w:eastAsia="仿宋_GB2312" w:hAnsi="宋体" w:hint="eastAsia"/>
          <w:b/>
          <w:color w:val="000000"/>
          <w:sz w:val="28"/>
          <w:szCs w:val="28"/>
        </w:rPr>
        <w:t>三江学院条幅悬挂点及相关资料表</w:t>
      </w: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3154"/>
        <w:gridCol w:w="1588"/>
        <w:gridCol w:w="1030"/>
        <w:gridCol w:w="923"/>
        <w:gridCol w:w="1421"/>
      </w:tblGrid>
      <w:tr w:rsidR="00057177" w:rsidRPr="00CD6453" w:rsidTr="00057177">
        <w:trPr>
          <w:trHeight w:val="448"/>
        </w:trPr>
        <w:tc>
          <w:tcPr>
            <w:tcW w:w="815" w:type="dxa"/>
            <w:vAlign w:val="center"/>
          </w:tcPr>
          <w:p w:rsidR="00057177" w:rsidRPr="008A19AE" w:rsidRDefault="00057177" w:rsidP="00057177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8A19AE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54" w:type="dxa"/>
            <w:vAlign w:val="center"/>
          </w:tcPr>
          <w:p w:rsidR="00057177" w:rsidRPr="008A19AE" w:rsidRDefault="00057177" w:rsidP="00057177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8A19AE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588" w:type="dxa"/>
            <w:vAlign w:val="center"/>
          </w:tcPr>
          <w:p w:rsidR="00057177" w:rsidRPr="008A19AE" w:rsidRDefault="00057177" w:rsidP="00057177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8A19AE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悬挂方式</w:t>
            </w:r>
          </w:p>
        </w:tc>
        <w:tc>
          <w:tcPr>
            <w:tcW w:w="1030" w:type="dxa"/>
            <w:vAlign w:val="center"/>
          </w:tcPr>
          <w:p w:rsidR="00057177" w:rsidRPr="008A19AE" w:rsidRDefault="00057177" w:rsidP="00057177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8A19AE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高度</w:t>
            </w:r>
          </w:p>
        </w:tc>
        <w:tc>
          <w:tcPr>
            <w:tcW w:w="923" w:type="dxa"/>
            <w:vAlign w:val="center"/>
          </w:tcPr>
          <w:p w:rsidR="00057177" w:rsidRPr="008A19AE" w:rsidRDefault="00057177" w:rsidP="00057177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8A19AE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长度</w:t>
            </w:r>
          </w:p>
        </w:tc>
        <w:tc>
          <w:tcPr>
            <w:tcW w:w="1421" w:type="dxa"/>
            <w:vAlign w:val="center"/>
          </w:tcPr>
          <w:p w:rsidR="00057177" w:rsidRPr="008A19AE" w:rsidRDefault="00057177" w:rsidP="00057177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8A19AE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号门正对的墙栏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上边用手扎下边用挂钩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1.2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463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日语办公楼门楣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6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二教楼西北门楣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435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文新院办公楼正门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9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中心教学楼东大门门楣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上边用手</w:t>
            </w:r>
          </w:p>
          <w:p w:rsidR="00057177" w:rsidRPr="00057177" w:rsidRDefault="00057177" w:rsidP="00314EB3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扎，下边用托帽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1.5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24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中心教学楼东大门门楣</w:t>
            </w:r>
            <w:r w:rsidRPr="00057177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  <w:u w:val="single"/>
              </w:rPr>
              <w:t>竖幅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宽</w:t>
            </w: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4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10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中心教学楼二楼连接走廊两侧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上边用手扎，下边用挂钩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1.5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东侧、西侧各一个展位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体育馆南门外厅柱之间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1.5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20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体育馆北门门楣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424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体育馆北门</w:t>
            </w:r>
            <w:r w:rsidRPr="00057177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  <w:u w:val="single"/>
              </w:rPr>
              <w:t>竖幅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宽</w:t>
            </w: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1.5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长</w:t>
            </w: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14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体育馆北门前树上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10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3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452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三教楼门楣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1.2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三教楼连接桥左右护栏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10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号、</w:t>
            </w: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9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号宿舍楼之间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1.2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432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号宿舍前沿路树上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1.2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10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体育场主席台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1.2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新食堂门楣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9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四号门外灯柱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1.2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篮球场护网上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8-10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4-5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218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足球场护栏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3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404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一号实验楼门前柱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1.2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16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414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机械工程学院楼（</w:t>
            </w: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S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楼）东角门楣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7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361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机械工程学院楼（</w:t>
            </w: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S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楼）西角门楣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7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三江会堂门楣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东一食堂西侧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56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二教楼大门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0.7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7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437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一教楼西门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0.7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7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437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六教楼门楣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9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437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三江会堂主席台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12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396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文新院楼演讲厅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9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399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新行政楼</w:t>
            </w: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5322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6.5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258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新行政楼</w:t>
            </w: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5422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366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新行政楼</w:t>
            </w: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A404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0.9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4.5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173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新行政楼</w:t>
            </w: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A406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手扎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0.9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6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454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一教楼西边</w:t>
            </w: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15#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学生公寓楼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个展位</w:t>
            </w:r>
          </w:p>
        </w:tc>
      </w:tr>
      <w:tr w:rsidR="00057177" w:rsidRPr="00CD6453" w:rsidTr="00057177">
        <w:trPr>
          <w:trHeight w:val="392"/>
        </w:trPr>
        <w:tc>
          <w:tcPr>
            <w:tcW w:w="815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54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学术报告厅</w:t>
            </w:r>
          </w:p>
        </w:tc>
        <w:tc>
          <w:tcPr>
            <w:tcW w:w="1588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挂钩</w:t>
            </w:r>
          </w:p>
        </w:tc>
        <w:tc>
          <w:tcPr>
            <w:tcW w:w="1030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0.8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923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057177">
              <w:rPr>
                <w:rFonts w:ascii="仿宋_GB2312" w:eastAsia="仿宋_GB2312" w:hAnsi="仿宋"/>
                <w:color w:val="000000"/>
                <w:sz w:val="24"/>
                <w:szCs w:val="24"/>
              </w:rPr>
              <w:t>7.5</w:t>
            </w:r>
            <w:r w:rsidRPr="00057177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21" w:type="dxa"/>
            <w:vAlign w:val="center"/>
          </w:tcPr>
          <w:p w:rsidR="00057177" w:rsidRPr="00057177" w:rsidRDefault="00057177" w:rsidP="00314EB3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057177" w:rsidRPr="00057177" w:rsidRDefault="00057177" w:rsidP="005C2F67">
      <w:pPr>
        <w:rPr>
          <w:rFonts w:ascii="仿宋_GB2312" w:eastAsia="仿宋_GB2312" w:hAnsi="仿宋"/>
          <w:color w:val="000000"/>
          <w:sz w:val="24"/>
          <w:szCs w:val="24"/>
        </w:rPr>
      </w:pPr>
      <w:r w:rsidRPr="00057177">
        <w:rPr>
          <w:rFonts w:ascii="仿宋_GB2312" w:eastAsia="仿宋_GB2312" w:hAnsi="仿宋" w:hint="eastAsia"/>
          <w:color w:val="000000"/>
          <w:sz w:val="24"/>
          <w:szCs w:val="24"/>
        </w:rPr>
        <w:t>注：高度和长度是指每个展位的条幅尺寸。</w:t>
      </w:r>
    </w:p>
    <w:p w:rsidR="00057177" w:rsidRDefault="00057177" w:rsidP="005C2F67">
      <w:pPr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057177" w:rsidRDefault="00057177" w:rsidP="005C2F67">
      <w:pPr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8A19AE" w:rsidRDefault="008A19AE" w:rsidP="005C2F67">
      <w:pPr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8A19AE" w:rsidRDefault="008A19AE" w:rsidP="005C2F67">
      <w:pPr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057177" w:rsidRDefault="00057177" w:rsidP="005C2F67">
      <w:pPr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057177" w:rsidRPr="007E0F74" w:rsidRDefault="00057177" w:rsidP="005C2F67">
      <w:pPr>
        <w:rPr>
          <w:rFonts w:ascii="宋体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lastRenderedPageBreak/>
        <w:t>附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2</w:t>
      </w:r>
      <w:r w:rsidRPr="00286BB8">
        <w:rPr>
          <w:rFonts w:ascii="仿宋_GB2312" w:eastAsia="仿宋_GB2312" w:hAnsi="宋体" w:hint="eastAsia"/>
          <w:bCs/>
          <w:color w:val="000000"/>
          <w:sz w:val="32"/>
          <w:szCs w:val="32"/>
        </w:rPr>
        <w:t>：</w:t>
      </w:r>
    </w:p>
    <w:p w:rsidR="00057177" w:rsidRPr="008A19AE" w:rsidRDefault="00057177" w:rsidP="008A19AE">
      <w:pPr>
        <w:ind w:firstLineChars="900" w:firstLine="2530"/>
        <w:rPr>
          <w:rFonts w:ascii="仿宋_GB2312" w:eastAsia="仿宋_GB2312" w:hint="eastAsia"/>
          <w:b/>
          <w:bCs/>
          <w:color w:val="000000"/>
          <w:sz w:val="28"/>
          <w:szCs w:val="28"/>
        </w:rPr>
      </w:pPr>
      <w:r w:rsidRPr="008A19AE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条幅悬挂申请表</w:t>
      </w:r>
    </w:p>
    <w:tbl>
      <w:tblPr>
        <w:tblW w:w="8236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360"/>
        <w:gridCol w:w="1080"/>
        <w:gridCol w:w="1080"/>
        <w:gridCol w:w="1260"/>
        <w:gridCol w:w="720"/>
        <w:gridCol w:w="1936"/>
      </w:tblGrid>
      <w:tr w:rsidR="00057177" w:rsidRPr="00CD6453" w:rsidTr="00314EB3">
        <w:trPr>
          <w:trHeight w:val="452"/>
        </w:trPr>
        <w:tc>
          <w:tcPr>
            <w:tcW w:w="1800" w:type="dxa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CD6453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2520" w:type="dxa"/>
            <w:gridSpan w:val="3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CD6453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申请悬挂时段</w:t>
            </w:r>
          </w:p>
        </w:tc>
        <w:tc>
          <w:tcPr>
            <w:tcW w:w="1936" w:type="dxa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CD6453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057177" w:rsidRPr="00CD6453" w:rsidTr="00314EB3">
        <w:trPr>
          <w:trHeight w:val="585"/>
        </w:trPr>
        <w:tc>
          <w:tcPr>
            <w:tcW w:w="1800" w:type="dxa"/>
            <w:vAlign w:val="center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CD6453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申请人</w:t>
            </w:r>
          </w:p>
        </w:tc>
        <w:tc>
          <w:tcPr>
            <w:tcW w:w="1440" w:type="dxa"/>
            <w:gridSpan w:val="2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CD6453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申请人联系方式</w:t>
            </w:r>
          </w:p>
        </w:tc>
        <w:tc>
          <w:tcPr>
            <w:tcW w:w="2656" w:type="dxa"/>
            <w:gridSpan w:val="2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057177" w:rsidRPr="00CD6453" w:rsidTr="00314EB3">
        <w:trPr>
          <w:trHeight w:val="315"/>
        </w:trPr>
        <w:tc>
          <w:tcPr>
            <w:tcW w:w="1800" w:type="dxa"/>
            <w:vAlign w:val="center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CD6453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6436" w:type="dxa"/>
            <w:gridSpan w:val="6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057177" w:rsidRPr="00CD6453" w:rsidTr="00314EB3">
        <w:trPr>
          <w:cantSplit/>
          <w:trHeight w:val="583"/>
        </w:trPr>
        <w:tc>
          <w:tcPr>
            <w:tcW w:w="2160" w:type="dxa"/>
            <w:gridSpan w:val="2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CD6453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申请悬挂地点</w:t>
            </w:r>
          </w:p>
        </w:tc>
        <w:tc>
          <w:tcPr>
            <w:tcW w:w="6076" w:type="dxa"/>
            <w:gridSpan w:val="5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057177" w:rsidRPr="00CD6453" w:rsidTr="00314EB3">
        <w:trPr>
          <w:trHeight w:val="2140"/>
        </w:trPr>
        <w:tc>
          <w:tcPr>
            <w:tcW w:w="8236" w:type="dxa"/>
            <w:gridSpan w:val="7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CD6453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条</w:t>
            </w:r>
            <w:r w:rsidRPr="00CD6453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CD6453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幅</w:t>
            </w:r>
            <w:r w:rsidRPr="00CD6453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CD6453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内</w:t>
            </w:r>
            <w:r w:rsidRPr="00CD6453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CD6453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容：</w:t>
            </w:r>
          </w:p>
        </w:tc>
      </w:tr>
      <w:tr w:rsidR="00057177" w:rsidRPr="00CD6453" w:rsidTr="00314EB3">
        <w:trPr>
          <w:trHeight w:val="2041"/>
        </w:trPr>
        <w:tc>
          <w:tcPr>
            <w:tcW w:w="8236" w:type="dxa"/>
            <w:gridSpan w:val="7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CD6453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学院（部门）领导签字审核：</w:t>
            </w:r>
          </w:p>
        </w:tc>
      </w:tr>
      <w:tr w:rsidR="00057177" w:rsidRPr="00CD6453" w:rsidTr="00314EB3">
        <w:trPr>
          <w:trHeight w:val="2613"/>
        </w:trPr>
        <w:tc>
          <w:tcPr>
            <w:tcW w:w="8236" w:type="dxa"/>
            <w:gridSpan w:val="7"/>
          </w:tcPr>
          <w:p w:rsidR="00057177" w:rsidRPr="00CD6453" w:rsidRDefault="00057177" w:rsidP="00314EB3">
            <w:pPr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CD6453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党委宣传部审批：</w:t>
            </w:r>
          </w:p>
        </w:tc>
      </w:tr>
    </w:tbl>
    <w:p w:rsidR="00057177" w:rsidRDefault="00057177" w:rsidP="00057177">
      <w:pPr>
        <w:spacing w:line="400" w:lineRule="exact"/>
        <w:rPr>
          <w:rFonts w:ascii="仿宋_GB2312" w:eastAsia="仿宋_GB2312" w:hAnsi="仿宋" w:hint="eastAsia"/>
          <w:color w:val="000000"/>
          <w:sz w:val="24"/>
          <w:szCs w:val="24"/>
        </w:rPr>
      </w:pPr>
      <w:r w:rsidRPr="00057177">
        <w:rPr>
          <w:rFonts w:ascii="仿宋_GB2312" w:eastAsia="仿宋_GB2312" w:hAnsi="仿宋" w:hint="eastAsia"/>
          <w:color w:val="000000"/>
          <w:sz w:val="24"/>
          <w:szCs w:val="24"/>
        </w:rPr>
        <w:t>注：</w:t>
      </w:r>
      <w:r w:rsidRPr="00057177">
        <w:rPr>
          <w:rFonts w:ascii="仿宋_GB2312" w:eastAsia="仿宋_GB2312" w:hAnsi="仿宋"/>
          <w:color w:val="000000"/>
          <w:sz w:val="24"/>
          <w:szCs w:val="24"/>
        </w:rPr>
        <w:t>1</w:t>
      </w:r>
      <w:r w:rsidRPr="00057177">
        <w:rPr>
          <w:rFonts w:ascii="仿宋_GB2312" w:eastAsia="仿宋_GB2312" w:hAnsi="仿宋" w:hint="eastAsia"/>
          <w:color w:val="000000"/>
          <w:sz w:val="24"/>
          <w:szCs w:val="24"/>
        </w:rPr>
        <w:t>、该申请表一式两份：党委宣传部，学院、部门，各持一份。</w:t>
      </w:r>
    </w:p>
    <w:p w:rsidR="00057177" w:rsidRPr="00057177" w:rsidRDefault="00057177" w:rsidP="00057177">
      <w:pPr>
        <w:spacing w:line="400" w:lineRule="exact"/>
        <w:ind w:firstLineChars="200" w:firstLine="480"/>
        <w:rPr>
          <w:rFonts w:ascii="仿宋_GB2312" w:eastAsia="仿宋_GB2312" w:hAnsi="仿宋" w:hint="eastAsia"/>
          <w:color w:val="000000"/>
          <w:sz w:val="24"/>
          <w:szCs w:val="24"/>
        </w:rPr>
      </w:pPr>
      <w:r w:rsidRPr="00057177">
        <w:rPr>
          <w:rFonts w:ascii="仿宋_GB2312" w:eastAsia="仿宋_GB2312" w:hAnsi="仿宋"/>
          <w:color w:val="000000"/>
          <w:sz w:val="24"/>
          <w:szCs w:val="24"/>
        </w:rPr>
        <w:t>2</w:t>
      </w:r>
      <w:r w:rsidRPr="00057177">
        <w:rPr>
          <w:rFonts w:ascii="仿宋_GB2312" w:eastAsia="仿宋_GB2312" w:hAnsi="仿宋" w:hint="eastAsia"/>
          <w:color w:val="000000"/>
          <w:sz w:val="24"/>
          <w:szCs w:val="24"/>
        </w:rPr>
        <w:t>、该表由申请学院、部门填写，党委宣传部审批后，学院方可自行悬挂。</w:t>
      </w:r>
      <w:r w:rsidRPr="00057177">
        <w:rPr>
          <w:rFonts w:ascii="仿宋_GB2312" w:eastAsia="仿宋_GB2312" w:hAnsi="仿宋" w:cs="宋体" w:hint="eastAsia"/>
          <w:color w:val="000000"/>
          <w:sz w:val="24"/>
          <w:szCs w:val="24"/>
        </w:rPr>
        <w:t>对不经报批擅自悬挂的横幅，党委宣传部将取消悬挂，后果由擅自悬挂的学院、部门负责。</w:t>
      </w:r>
    </w:p>
    <w:p w:rsidR="00057177" w:rsidRDefault="00057177" w:rsidP="005C2F67">
      <w:pPr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8A19AE" w:rsidRDefault="008A19AE" w:rsidP="005C2F67">
      <w:pPr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057177" w:rsidRPr="007E0F74" w:rsidRDefault="00057177" w:rsidP="005C2F67">
      <w:pPr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lastRenderedPageBreak/>
        <w:t>附</w:t>
      </w:r>
      <w:r>
        <w:rPr>
          <w:rFonts w:ascii="仿宋_GB2312" w:eastAsia="仿宋_GB2312" w:hAnsi="宋体"/>
          <w:bCs/>
          <w:color w:val="000000"/>
          <w:sz w:val="32"/>
          <w:szCs w:val="32"/>
        </w:rPr>
        <w:t>3</w:t>
      </w:r>
      <w:r w:rsidRPr="00286BB8">
        <w:rPr>
          <w:rFonts w:ascii="仿宋_GB2312" w:eastAsia="仿宋_GB2312" w:hAnsi="宋体" w:hint="eastAsia"/>
          <w:bCs/>
          <w:color w:val="000000"/>
          <w:sz w:val="32"/>
          <w:szCs w:val="32"/>
        </w:rPr>
        <w:t>：</w:t>
      </w:r>
    </w:p>
    <w:p w:rsidR="00057177" w:rsidRPr="008A19AE" w:rsidRDefault="00057177" w:rsidP="008A19AE">
      <w:pPr>
        <w:ind w:firstLineChars="700" w:firstLine="1968"/>
        <w:rPr>
          <w:rFonts w:ascii="仿宋_GB2312" w:eastAsia="仿宋_GB2312" w:hint="eastAsia"/>
          <w:b/>
          <w:bCs/>
          <w:color w:val="000000"/>
          <w:sz w:val="28"/>
          <w:szCs w:val="28"/>
        </w:rPr>
      </w:pPr>
      <w:r w:rsidRPr="008A19AE"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  <w:t>三江学院宣传橱窗分配表</w:t>
      </w:r>
    </w:p>
    <w:tbl>
      <w:tblPr>
        <w:tblW w:w="8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8"/>
        <w:gridCol w:w="1974"/>
        <w:gridCol w:w="564"/>
        <w:gridCol w:w="4653"/>
      </w:tblGrid>
      <w:tr w:rsidR="00057177" w:rsidRPr="00CD6453" w:rsidTr="00057177">
        <w:trPr>
          <w:cantSplit/>
          <w:trHeight w:hRule="exact" w:val="113"/>
        </w:trPr>
        <w:tc>
          <w:tcPr>
            <w:tcW w:w="1128" w:type="dxa"/>
            <w:vMerge w:val="restart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一教楼</w:t>
            </w:r>
          </w:p>
        </w:tc>
        <w:tc>
          <w:tcPr>
            <w:tcW w:w="1974" w:type="dxa"/>
            <w:vMerge w:val="restart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一楼西面阶梯教室东墙</w:t>
            </w:r>
          </w:p>
        </w:tc>
        <w:tc>
          <w:tcPr>
            <w:tcW w:w="564" w:type="dxa"/>
            <w:vMerge w:val="restart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53" w:type="dxa"/>
            <w:vMerge w:val="restart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计算机学院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3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块（阶一前，由北往南走，北边三块）</w:t>
            </w:r>
          </w:p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公共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6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块（阶一前，由北往南走，南边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6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块）</w:t>
            </w:r>
          </w:p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法知学院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9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块（阶二前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9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块）</w:t>
            </w:r>
          </w:p>
        </w:tc>
      </w:tr>
      <w:tr w:rsidR="00057177" w:rsidRPr="00CD6453" w:rsidTr="00057177">
        <w:trPr>
          <w:cantSplit/>
          <w:trHeight w:val="616"/>
        </w:trPr>
        <w:tc>
          <w:tcPr>
            <w:tcW w:w="1128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653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57177" w:rsidRPr="00CD6453" w:rsidTr="00057177">
        <w:trPr>
          <w:cantSplit/>
          <w:trHeight w:val="616"/>
        </w:trPr>
        <w:tc>
          <w:tcPr>
            <w:tcW w:w="1128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653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57177" w:rsidRPr="00CD6453" w:rsidTr="00057177">
        <w:trPr>
          <w:cantSplit/>
          <w:trHeight w:val="616"/>
        </w:trPr>
        <w:tc>
          <w:tcPr>
            <w:tcW w:w="1128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653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57177" w:rsidRPr="00CD6453" w:rsidTr="00057177">
        <w:trPr>
          <w:cantSplit/>
          <w:trHeight w:val="616"/>
        </w:trPr>
        <w:tc>
          <w:tcPr>
            <w:tcW w:w="1128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653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57177" w:rsidRPr="00CD6453" w:rsidTr="00057177">
        <w:trPr>
          <w:cantSplit/>
          <w:trHeight w:val="520"/>
        </w:trPr>
        <w:tc>
          <w:tcPr>
            <w:tcW w:w="1128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653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57177" w:rsidRPr="00CD6453" w:rsidTr="00057177">
        <w:trPr>
          <w:cantSplit/>
          <w:trHeight w:hRule="exact" w:val="284"/>
        </w:trPr>
        <w:tc>
          <w:tcPr>
            <w:tcW w:w="1128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南面</w:t>
            </w:r>
          </w:p>
        </w:tc>
        <w:tc>
          <w:tcPr>
            <w:tcW w:w="564" w:type="dxa"/>
            <w:vMerge w:val="restart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53" w:type="dxa"/>
            <w:vMerge w:val="restart"/>
            <w:vAlign w:val="center"/>
          </w:tcPr>
          <w:p w:rsidR="00057177" w:rsidRPr="00057177" w:rsidRDefault="00057177" w:rsidP="00057177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文旅院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12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102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、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103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、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104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教室前）</w:t>
            </w:r>
          </w:p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机电学院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4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105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教室前）</w:t>
            </w:r>
          </w:p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电气学院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4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106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教室前）</w:t>
            </w:r>
          </w:p>
        </w:tc>
      </w:tr>
      <w:tr w:rsidR="00057177" w:rsidRPr="00CD6453" w:rsidTr="00057177">
        <w:trPr>
          <w:cantSplit/>
          <w:trHeight w:val="616"/>
        </w:trPr>
        <w:tc>
          <w:tcPr>
            <w:tcW w:w="1128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653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57177" w:rsidRPr="00CD6453" w:rsidTr="00057177">
        <w:trPr>
          <w:cantSplit/>
          <w:trHeight w:hRule="exact" w:val="340"/>
        </w:trPr>
        <w:tc>
          <w:tcPr>
            <w:tcW w:w="1128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北面</w:t>
            </w:r>
          </w:p>
        </w:tc>
        <w:tc>
          <w:tcPr>
            <w:tcW w:w="564" w:type="dxa"/>
            <w:vMerge w:val="restart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53" w:type="dxa"/>
            <w:vMerge w:val="restart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职成院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6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118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教室前）</w:t>
            </w:r>
          </w:p>
          <w:p w:rsidR="00057177" w:rsidRPr="00057177" w:rsidRDefault="00057177" w:rsidP="00314EB3">
            <w:pPr>
              <w:spacing w:line="320" w:lineRule="exact"/>
              <w:ind w:firstLine="42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外国语学院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3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110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教室前）</w:t>
            </w:r>
          </w:p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商学院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8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111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、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117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教室前）</w:t>
            </w:r>
          </w:p>
        </w:tc>
      </w:tr>
      <w:tr w:rsidR="00057177" w:rsidRPr="00CD6453" w:rsidTr="00057177">
        <w:trPr>
          <w:cantSplit/>
          <w:trHeight w:val="616"/>
        </w:trPr>
        <w:tc>
          <w:tcPr>
            <w:tcW w:w="1128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653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57177" w:rsidRPr="00CD6453" w:rsidTr="00057177">
        <w:trPr>
          <w:cantSplit/>
          <w:trHeight w:val="571"/>
        </w:trPr>
        <w:tc>
          <w:tcPr>
            <w:tcW w:w="1128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653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57177" w:rsidRPr="00CD6453" w:rsidTr="00057177">
        <w:trPr>
          <w:cantSplit/>
          <w:trHeight w:val="616"/>
        </w:trPr>
        <w:tc>
          <w:tcPr>
            <w:tcW w:w="1128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西侧门厅</w:t>
            </w:r>
          </w:p>
        </w:tc>
        <w:tc>
          <w:tcPr>
            <w:tcW w:w="564" w:type="dxa"/>
            <w:vMerge w:val="restart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53" w:type="dxa"/>
            <w:vMerge w:val="restart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校办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块（布告栏）</w:t>
            </w:r>
          </w:p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人事组织部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块（布告栏）</w:t>
            </w:r>
          </w:p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发展规划与质量评估处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块（布告栏）</w:t>
            </w:r>
          </w:p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学工部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2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</w:t>
            </w:r>
          </w:p>
        </w:tc>
      </w:tr>
      <w:tr w:rsidR="00057177" w:rsidRPr="00CD6453" w:rsidTr="00057177">
        <w:trPr>
          <w:cantSplit/>
          <w:trHeight w:val="616"/>
        </w:trPr>
        <w:tc>
          <w:tcPr>
            <w:tcW w:w="1128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653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57177" w:rsidRPr="00CD6453" w:rsidTr="00057177">
        <w:trPr>
          <w:cantSplit/>
          <w:trHeight w:val="616"/>
        </w:trPr>
        <w:tc>
          <w:tcPr>
            <w:tcW w:w="1128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4653" w:type="dxa"/>
            <w:vMerge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057177" w:rsidRPr="00CD6453" w:rsidTr="00057177">
        <w:trPr>
          <w:cantSplit/>
          <w:trHeight w:val="224"/>
        </w:trPr>
        <w:tc>
          <w:tcPr>
            <w:tcW w:w="1128" w:type="dxa"/>
            <w:vAlign w:val="center"/>
          </w:tcPr>
          <w:p w:rsidR="00057177" w:rsidRPr="00057177" w:rsidRDefault="00057177" w:rsidP="00314EB3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宿舍区</w:t>
            </w:r>
          </w:p>
        </w:tc>
        <w:tc>
          <w:tcPr>
            <w:tcW w:w="7191" w:type="dxa"/>
            <w:gridSpan w:val="3"/>
            <w:vAlign w:val="center"/>
          </w:tcPr>
          <w:p w:rsidR="00057177" w:rsidRPr="00057177" w:rsidRDefault="00057177" w:rsidP="00314EB3">
            <w:pPr>
              <w:spacing w:line="40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共有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20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块（后勤处、保卫处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8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块，学工部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12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块）</w:t>
            </w:r>
          </w:p>
        </w:tc>
      </w:tr>
      <w:tr w:rsidR="00057177" w:rsidRPr="00CD6453" w:rsidTr="00057177">
        <w:trPr>
          <w:cantSplit/>
          <w:trHeight w:val="224"/>
        </w:trPr>
        <w:tc>
          <w:tcPr>
            <w:tcW w:w="1128" w:type="dxa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校园内</w:t>
            </w:r>
          </w:p>
        </w:tc>
        <w:tc>
          <w:tcPr>
            <w:tcW w:w="7191" w:type="dxa"/>
            <w:gridSpan w:val="3"/>
            <w:vAlign w:val="center"/>
          </w:tcPr>
          <w:p w:rsidR="00057177" w:rsidRPr="00057177" w:rsidRDefault="00057177" w:rsidP="00314EB3">
            <w:pPr>
              <w:pStyle w:val="ae"/>
              <w:spacing w:line="320" w:lineRule="exact"/>
              <w:rPr>
                <w:rFonts w:ascii="仿宋_GB2312" w:eastAsia="仿宋_GB2312" w:hAnsi="仿宋"/>
                <w:b w:val="0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b w:val="0"/>
                <w:color w:val="000000"/>
                <w:sz w:val="28"/>
                <w:szCs w:val="28"/>
              </w:rPr>
              <w:t>文体馆北门口</w:t>
            </w:r>
            <w:r w:rsidRPr="00057177">
              <w:rPr>
                <w:rFonts w:ascii="仿宋_GB2312" w:eastAsia="仿宋_GB2312" w:hAnsi="仿宋"/>
                <w:b w:val="0"/>
                <w:color w:val="000000"/>
                <w:sz w:val="28"/>
                <w:szCs w:val="28"/>
              </w:rPr>
              <w:t>56</w:t>
            </w:r>
            <w:r w:rsidRPr="00057177">
              <w:rPr>
                <w:rFonts w:ascii="仿宋_GB2312" w:eastAsia="仿宋_GB2312" w:hAnsi="仿宋" w:hint="eastAsia"/>
                <w:b w:val="0"/>
                <w:color w:val="000000"/>
                <w:sz w:val="28"/>
                <w:szCs w:val="28"/>
              </w:rPr>
              <w:t>块（学工部统一使用，各学院、部门可申请使用，用于校级大型主题展出活动）</w:t>
            </w:r>
          </w:p>
        </w:tc>
      </w:tr>
      <w:tr w:rsidR="00057177" w:rsidRPr="00CD6453" w:rsidTr="00057177">
        <w:trPr>
          <w:cantSplit/>
          <w:trHeight w:val="224"/>
        </w:trPr>
        <w:tc>
          <w:tcPr>
            <w:tcW w:w="1128" w:type="dxa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大食堂</w:t>
            </w:r>
          </w:p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桥廊</w:t>
            </w:r>
          </w:p>
        </w:tc>
        <w:tc>
          <w:tcPr>
            <w:tcW w:w="7191" w:type="dxa"/>
            <w:gridSpan w:val="3"/>
            <w:vAlign w:val="center"/>
          </w:tcPr>
          <w:p w:rsidR="00057177" w:rsidRPr="00057177" w:rsidRDefault="00057177" w:rsidP="00314EB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左侧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11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块，右侧</w:t>
            </w:r>
            <w:r w:rsidRPr="00057177">
              <w:rPr>
                <w:rFonts w:ascii="仿宋_GB2312" w:eastAsia="仿宋_GB2312" w:hAnsi="仿宋"/>
                <w:color w:val="000000"/>
                <w:sz w:val="28"/>
                <w:szCs w:val="28"/>
              </w:rPr>
              <w:t>11</w:t>
            </w:r>
            <w:r w:rsidRPr="00057177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块（后勤统一使用）</w:t>
            </w:r>
          </w:p>
        </w:tc>
      </w:tr>
    </w:tbl>
    <w:p w:rsidR="00057177" w:rsidRPr="00057177" w:rsidRDefault="00057177" w:rsidP="00057177">
      <w:pPr>
        <w:spacing w:line="400" w:lineRule="exact"/>
        <w:ind w:rightChars="-500" w:right="-1100" w:firstLineChars="200" w:firstLine="480"/>
        <w:rPr>
          <w:rFonts w:ascii="仿宋_GB2312" w:eastAsia="仿宋_GB2312" w:hAnsi="仿宋"/>
          <w:color w:val="000000"/>
          <w:sz w:val="24"/>
          <w:szCs w:val="24"/>
        </w:rPr>
      </w:pPr>
      <w:r w:rsidRPr="00057177">
        <w:rPr>
          <w:rFonts w:ascii="仿宋_GB2312" w:eastAsia="仿宋_GB2312" w:hAnsi="仿宋" w:hint="eastAsia"/>
          <w:color w:val="000000"/>
          <w:sz w:val="24"/>
          <w:szCs w:val="24"/>
        </w:rPr>
        <w:t>备注：部分非重点区域的宣传橱窗已经不适合学校的发展需要，所以表格</w:t>
      </w:r>
    </w:p>
    <w:p w:rsidR="004358AB" w:rsidRPr="008A19AE" w:rsidRDefault="00057177" w:rsidP="008A19AE">
      <w:pPr>
        <w:shd w:val="clear" w:color="auto" w:fill="FFFFFF"/>
        <w:rPr>
          <w:rFonts w:hint="eastAsia"/>
          <w:sz w:val="24"/>
          <w:szCs w:val="24"/>
        </w:rPr>
      </w:pPr>
      <w:r w:rsidRPr="00057177">
        <w:rPr>
          <w:rFonts w:ascii="仿宋_GB2312" w:eastAsia="仿宋_GB2312" w:hAnsi="仿宋" w:hint="eastAsia"/>
          <w:color w:val="000000"/>
          <w:sz w:val="24"/>
          <w:szCs w:val="24"/>
        </w:rPr>
        <w:t>中只保留了重点区域的橱窗归属。</w:t>
      </w:r>
    </w:p>
    <w:sectPr w:rsidR="004358AB" w:rsidRPr="008A19AE" w:rsidSect="00427B7C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B3" w:rsidRDefault="008A19AE" w:rsidP="0007011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4EB3" w:rsidRDefault="008A19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B3" w:rsidRDefault="008A19AE" w:rsidP="0007011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314EB3" w:rsidRDefault="008A19A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B3" w:rsidRDefault="008A19AE" w:rsidP="00FF78A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E49"/>
    <w:multiLevelType w:val="hybridMultilevel"/>
    <w:tmpl w:val="AE00A16A"/>
    <w:lvl w:ilvl="0" w:tplc="5BF2AFB2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>
    <w:nsid w:val="1A8D5AAC"/>
    <w:multiLevelType w:val="hybridMultilevel"/>
    <w:tmpl w:val="31446654"/>
    <w:lvl w:ilvl="0" w:tplc="561615EA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20D13438"/>
    <w:multiLevelType w:val="hybridMultilevel"/>
    <w:tmpl w:val="E3F48D7A"/>
    <w:lvl w:ilvl="0" w:tplc="2C28761E">
      <w:start w:val="1"/>
      <w:numFmt w:val="japaneseCounting"/>
      <w:lvlText w:val="%1、"/>
      <w:lvlJc w:val="left"/>
      <w:pPr>
        <w:ind w:left="128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3">
    <w:nsid w:val="2E5F299D"/>
    <w:multiLevelType w:val="multilevel"/>
    <w:tmpl w:val="2E5F299D"/>
    <w:lvl w:ilvl="0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>
    <w:nsid w:val="322E5ABE"/>
    <w:multiLevelType w:val="hybridMultilevel"/>
    <w:tmpl w:val="CEA4EC16"/>
    <w:lvl w:ilvl="0" w:tplc="867E1C2E">
      <w:start w:val="1"/>
      <w:numFmt w:val="japaneseCounting"/>
      <w:lvlText w:val="（%1）"/>
      <w:lvlJc w:val="left"/>
      <w:pPr>
        <w:ind w:left="885" w:hanging="88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C6C1316"/>
    <w:multiLevelType w:val="hybridMultilevel"/>
    <w:tmpl w:val="DF962CB2"/>
    <w:lvl w:ilvl="0" w:tplc="2A6E169C">
      <w:start w:val="3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60EB7030"/>
    <w:multiLevelType w:val="hybridMultilevel"/>
    <w:tmpl w:val="A418AE18"/>
    <w:lvl w:ilvl="0" w:tplc="B2E47A12">
      <w:start w:val="1"/>
      <w:numFmt w:val="decimal"/>
      <w:lvlText w:val="%1、"/>
      <w:lvlJc w:val="left"/>
      <w:pPr>
        <w:ind w:left="1305" w:hanging="765"/>
      </w:pPr>
      <w:rPr>
        <w:rFonts w:asci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643E792F"/>
    <w:multiLevelType w:val="multilevel"/>
    <w:tmpl w:val="643E792F"/>
    <w:lvl w:ilvl="0">
      <w:start w:val="1"/>
      <w:numFmt w:val="japaneseCounting"/>
      <w:lvlText w:val="（%1）"/>
      <w:lvlJc w:val="left"/>
      <w:pPr>
        <w:ind w:left="1680" w:hanging="108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ind w:left="17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57177"/>
    <w:rsid w:val="00314E85"/>
    <w:rsid w:val="00323B43"/>
    <w:rsid w:val="003D37D8"/>
    <w:rsid w:val="00426133"/>
    <w:rsid w:val="004358AB"/>
    <w:rsid w:val="008A19A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057177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057177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0571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057177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3">
    <w:name w:val="Date"/>
    <w:basedOn w:val="a"/>
    <w:next w:val="a"/>
    <w:link w:val="Char"/>
    <w:rsid w:val="00057177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">
    <w:name w:val="日期 Char"/>
    <w:basedOn w:val="a0"/>
    <w:link w:val="a3"/>
    <w:rsid w:val="00057177"/>
    <w:rPr>
      <w:rFonts w:ascii="Times New Roman" w:eastAsia="宋体" w:hAnsi="Times New Roman" w:cs="Times New Roman"/>
      <w:kern w:val="2"/>
      <w:sz w:val="21"/>
      <w:szCs w:val="20"/>
    </w:rPr>
  </w:style>
  <w:style w:type="paragraph" w:styleId="a4">
    <w:name w:val="header"/>
    <w:basedOn w:val="a"/>
    <w:link w:val="Char0"/>
    <w:semiHidden/>
    <w:unhideWhenUsed/>
    <w:rsid w:val="0005717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  <w:lang/>
    </w:rPr>
  </w:style>
  <w:style w:type="character" w:customStyle="1" w:styleId="Char0">
    <w:name w:val="页眉 Char"/>
    <w:basedOn w:val="a0"/>
    <w:link w:val="a4"/>
    <w:semiHidden/>
    <w:rsid w:val="00057177"/>
    <w:rPr>
      <w:rFonts w:ascii="Times New Roman" w:eastAsia="宋体" w:hAnsi="Times New Roman" w:cs="Times New Roman"/>
      <w:kern w:val="2"/>
      <w:sz w:val="18"/>
      <w:szCs w:val="18"/>
      <w:lang/>
    </w:rPr>
  </w:style>
  <w:style w:type="paragraph" w:styleId="a5">
    <w:name w:val="footer"/>
    <w:basedOn w:val="a"/>
    <w:link w:val="Char1"/>
    <w:semiHidden/>
    <w:unhideWhenUsed/>
    <w:rsid w:val="00057177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  <w:lang/>
    </w:rPr>
  </w:style>
  <w:style w:type="character" w:customStyle="1" w:styleId="Char1">
    <w:name w:val="页脚 Char"/>
    <w:basedOn w:val="a0"/>
    <w:link w:val="a5"/>
    <w:semiHidden/>
    <w:rsid w:val="00057177"/>
    <w:rPr>
      <w:rFonts w:ascii="Times New Roman" w:eastAsia="宋体" w:hAnsi="Times New Roman" w:cs="Times New Roman"/>
      <w:kern w:val="2"/>
      <w:sz w:val="18"/>
      <w:szCs w:val="18"/>
      <w:lang/>
    </w:rPr>
  </w:style>
  <w:style w:type="paragraph" w:styleId="a6">
    <w:name w:val="Balloon Text"/>
    <w:basedOn w:val="a"/>
    <w:link w:val="Char2"/>
    <w:semiHidden/>
    <w:rsid w:val="00057177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05717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unhideWhenUsed/>
    <w:rsid w:val="0005717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character" w:styleId="a8">
    <w:name w:val="Strong"/>
    <w:basedOn w:val="a0"/>
    <w:qFormat/>
    <w:rsid w:val="00057177"/>
    <w:rPr>
      <w:b/>
      <w:bCs/>
    </w:rPr>
  </w:style>
  <w:style w:type="character" w:styleId="a9">
    <w:name w:val="page number"/>
    <w:basedOn w:val="a0"/>
    <w:rsid w:val="00057177"/>
  </w:style>
  <w:style w:type="paragraph" w:styleId="aa">
    <w:name w:val="Plain Text"/>
    <w:basedOn w:val="a"/>
    <w:link w:val="Char3"/>
    <w:rsid w:val="00057177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3">
    <w:name w:val="纯文本 Char"/>
    <w:basedOn w:val="a0"/>
    <w:link w:val="aa"/>
    <w:rsid w:val="00057177"/>
    <w:rPr>
      <w:rFonts w:ascii="宋体" w:eastAsia="宋体" w:hAnsi="Courier New" w:cs="Times New Roman"/>
      <w:kern w:val="2"/>
      <w:sz w:val="21"/>
      <w:szCs w:val="20"/>
    </w:rPr>
  </w:style>
  <w:style w:type="paragraph" w:styleId="ab">
    <w:name w:val="Salutation"/>
    <w:basedOn w:val="a"/>
    <w:next w:val="a"/>
    <w:link w:val="Char4"/>
    <w:rsid w:val="00057177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8"/>
      <w:szCs w:val="20"/>
    </w:rPr>
  </w:style>
  <w:style w:type="character" w:customStyle="1" w:styleId="Char4">
    <w:name w:val="称呼 Char"/>
    <w:basedOn w:val="a0"/>
    <w:link w:val="ab"/>
    <w:rsid w:val="00057177"/>
    <w:rPr>
      <w:rFonts w:ascii="Times New Roman" w:eastAsia="宋体" w:hAnsi="Times New Roman" w:cs="Times New Roman"/>
      <w:kern w:val="2"/>
      <w:sz w:val="28"/>
      <w:szCs w:val="20"/>
    </w:rPr>
  </w:style>
  <w:style w:type="paragraph" w:customStyle="1" w:styleId="p0">
    <w:name w:val="p0"/>
    <w:basedOn w:val="a"/>
    <w:rsid w:val="00057177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table" w:styleId="ac">
    <w:name w:val="Table Grid"/>
    <w:basedOn w:val="a1"/>
    <w:rsid w:val="0005717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057177"/>
    <w:pPr>
      <w:widowControl w:val="0"/>
      <w:adjustRightInd/>
      <w:snapToGrid/>
      <w:spacing w:after="0" w:line="520" w:lineRule="exact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ListParagraph">
    <w:name w:val="List Paragraph"/>
    <w:basedOn w:val="a"/>
    <w:rsid w:val="0005717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articletitle">
    <w:name w:val="article_title"/>
    <w:basedOn w:val="a0"/>
    <w:rsid w:val="00057177"/>
    <w:rPr>
      <w:rFonts w:cs="Times New Roman"/>
    </w:rPr>
  </w:style>
  <w:style w:type="paragraph" w:customStyle="1" w:styleId="vsbcontentstart">
    <w:name w:val="vsbcontent_start"/>
    <w:basedOn w:val="a"/>
    <w:rsid w:val="0005717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vsbcontentend">
    <w:name w:val="vsbcontent_end"/>
    <w:basedOn w:val="a"/>
    <w:rsid w:val="0005717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d">
    <w:name w:val="Emphasis"/>
    <w:basedOn w:val="a0"/>
    <w:qFormat/>
    <w:rsid w:val="00057177"/>
    <w:rPr>
      <w:rFonts w:cs="Times New Roman"/>
      <w:i/>
      <w:iCs/>
    </w:rPr>
  </w:style>
  <w:style w:type="paragraph" w:styleId="ae">
    <w:name w:val="Title"/>
    <w:basedOn w:val="a"/>
    <w:next w:val="a"/>
    <w:link w:val="Char5"/>
    <w:qFormat/>
    <w:rsid w:val="00057177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5">
    <w:name w:val="标题 Char"/>
    <w:basedOn w:val="a0"/>
    <w:link w:val="ae"/>
    <w:rsid w:val="00057177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E2E8A4-72D1-4BF0-B1DF-08A237D9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2018-11-06T11:27:00Z</dcterms:modified>
</cp:coreProperties>
</file>