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附件3：</w:t>
      </w:r>
    </w:p>
    <w:p>
      <w:pPr>
        <w:widowControl/>
        <w:spacing w:before="100" w:beforeAutospacing="1" w:after="100" w:afterAutospacing="1"/>
        <w:jc w:val="center"/>
        <w:rPr>
          <w:rFonts w:ascii="Times New Roman" w:hAnsi="Times New Roman" w:eastAsia="微软雅黑" w:cs="Times New Roman"/>
          <w:b/>
          <w:bCs/>
          <w:kern w:val="0"/>
          <w:sz w:val="36"/>
          <w:szCs w:val="36"/>
        </w:rPr>
      </w:pPr>
      <w:r>
        <w:rPr>
          <w:rFonts w:ascii="Times New Roman" w:hAnsi="Times New Roman" w:eastAsia="微软雅黑" w:cs="Times New Roman"/>
          <w:b/>
          <w:bCs/>
          <w:kern w:val="0"/>
          <w:sz w:val="36"/>
          <w:szCs w:val="36"/>
        </w:rPr>
        <w:t>2023年校级</w:t>
      </w:r>
      <w:r>
        <w:rPr>
          <w:rFonts w:hint="eastAsia" w:ascii="Times New Roman" w:hAnsi="Times New Roman" w:eastAsia="微软雅黑" w:cs="Times New Roman"/>
          <w:b/>
          <w:bCs/>
          <w:kern w:val="0"/>
          <w:sz w:val="36"/>
          <w:szCs w:val="36"/>
        </w:rPr>
        <w:t>高等</w:t>
      </w:r>
      <w:r>
        <w:rPr>
          <w:rFonts w:ascii="Times New Roman" w:hAnsi="Times New Roman" w:eastAsia="微软雅黑" w:cs="Times New Roman"/>
          <w:b/>
          <w:bCs/>
          <w:kern w:val="0"/>
          <w:sz w:val="36"/>
          <w:szCs w:val="36"/>
        </w:rPr>
        <w:t>教育研究课题申报指南</w:t>
      </w:r>
    </w:p>
    <w:p>
      <w:pPr>
        <w:spacing w:line="460" w:lineRule="exact"/>
        <w:ind w:firstLine="480" w:firstLineChars="200"/>
        <w:rPr>
          <w:rFonts w:ascii="仿宋_GB2312" w:hAnsi="宋体" w:eastAsia="仿宋_GB2312"/>
          <w:sz w:val="24"/>
        </w:rPr>
      </w:pPr>
      <w:r>
        <w:rPr>
          <w:rFonts w:ascii="Times New Roman" w:hAnsi="Times New Roman" w:eastAsia="仿宋_GB2312" w:cs="Times New Roman"/>
          <w:sz w:val="24"/>
        </w:rPr>
        <w:t>2023年校级教育科学研究课题将依据学校强基础、建特色、升层次“三大任务”和2025年本科教学审核评估要求</w:t>
      </w:r>
      <w:r>
        <w:rPr>
          <w:rFonts w:hint="eastAsia" w:ascii="仿宋_GB2312" w:hAnsi="宋体" w:eastAsia="仿宋_GB2312"/>
          <w:sz w:val="24"/>
        </w:rPr>
        <w:t>，围绕教学建设、教学改革、教学管理、综合治理等方面进行立项。本指南是课题研究范围和方向，并非具体的课题名称，申请人可参照本指南，根据本单位、学科专业和个人实际，确定具体研究课题。</w:t>
      </w:r>
    </w:p>
    <w:p>
      <w:pPr>
        <w:spacing w:line="460" w:lineRule="exact"/>
        <w:ind w:firstLine="482" w:firstLineChars="200"/>
        <w:rPr>
          <w:rFonts w:ascii="仿宋_GB2312" w:hAnsi="宋体" w:eastAsia="仿宋_GB2312"/>
          <w:b/>
          <w:bCs/>
          <w:sz w:val="24"/>
        </w:rPr>
      </w:pPr>
      <w:r>
        <w:rPr>
          <w:rFonts w:hint="eastAsia" w:ascii="仿宋_GB2312" w:hAnsi="宋体" w:eastAsia="仿宋_GB2312"/>
          <w:b/>
          <w:bCs/>
          <w:sz w:val="24"/>
        </w:rPr>
        <w:t>一、专业建设</w:t>
      </w:r>
    </w:p>
    <w:p>
      <w:pPr>
        <w:spacing w:line="460" w:lineRule="exact"/>
        <w:ind w:firstLine="480" w:firstLineChars="200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24"/>
        </w:rPr>
        <w:t>1、坚持市场需求导向的专业动态调整机制研究；</w:t>
      </w:r>
    </w:p>
    <w:p>
      <w:pPr>
        <w:spacing w:line="460" w:lineRule="exact"/>
        <w:ind w:firstLine="480" w:firstLineChars="200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24"/>
        </w:rPr>
        <w:t>2、专业结构优化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方法研究</w:t>
      </w:r>
      <w:r>
        <w:rPr>
          <w:rFonts w:ascii="Times New Roman" w:hAnsi="Times New Roman" w:eastAsia="仿宋_GB2312" w:cs="Times New Roman"/>
          <w:sz w:val="24"/>
        </w:rPr>
        <w:t>；</w:t>
      </w:r>
    </w:p>
    <w:p>
      <w:pPr>
        <w:spacing w:line="460" w:lineRule="exact"/>
        <w:ind w:firstLine="480" w:firstLineChars="200"/>
        <w:rPr>
          <w:rFonts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3、</w:t>
      </w:r>
      <w:r>
        <w:rPr>
          <w:rFonts w:ascii="Times New Roman" w:hAnsi="Times New Roman" w:eastAsia="仿宋_GB2312" w:cs="Times New Roman"/>
          <w:sz w:val="24"/>
        </w:rPr>
        <w:t>产教融合型专业建设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研究</w:t>
      </w:r>
      <w:r>
        <w:rPr>
          <w:rFonts w:ascii="Times New Roman" w:hAnsi="Times New Roman" w:eastAsia="仿宋_GB2312" w:cs="Times New Roman"/>
          <w:sz w:val="24"/>
        </w:rPr>
        <w:t>；</w:t>
      </w:r>
    </w:p>
    <w:p>
      <w:pPr>
        <w:spacing w:line="460" w:lineRule="exact"/>
        <w:ind w:firstLine="480" w:firstLineChars="200"/>
        <w:rPr>
          <w:rFonts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4</w:t>
      </w:r>
      <w:r>
        <w:rPr>
          <w:rFonts w:ascii="Times New Roman" w:hAnsi="Times New Roman" w:eastAsia="仿宋_GB2312" w:cs="Times New Roman"/>
          <w:sz w:val="24"/>
        </w:rPr>
        <w:t>、本科专业类教学质量国家标准的应用研究；</w:t>
      </w:r>
    </w:p>
    <w:p>
      <w:pPr>
        <w:spacing w:line="460" w:lineRule="exact"/>
        <w:ind w:firstLine="480" w:firstLineChars="200"/>
        <w:rPr>
          <w:rFonts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sz w:val="24"/>
        </w:rPr>
        <w:t>、</w:t>
      </w:r>
      <w:r>
        <w:rPr>
          <w:rFonts w:ascii="Times New Roman" w:hAnsi="Times New Roman" w:eastAsia="仿宋_GB2312" w:cs="Times New Roman"/>
          <w:sz w:val="24"/>
        </w:rPr>
        <w:t>一流专业建设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研究</w:t>
      </w:r>
      <w:r>
        <w:rPr>
          <w:rFonts w:ascii="Times New Roman" w:hAnsi="Times New Roman" w:eastAsia="仿宋_GB2312" w:cs="Times New Roman"/>
          <w:sz w:val="24"/>
        </w:rPr>
        <w:t>；</w:t>
      </w:r>
    </w:p>
    <w:p>
      <w:pPr>
        <w:spacing w:line="460" w:lineRule="exact"/>
        <w:ind w:firstLine="480" w:firstLineChars="200"/>
        <w:rPr>
          <w:rFonts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sz w:val="24"/>
        </w:rPr>
        <w:t>、</w:t>
      </w:r>
      <w:r>
        <w:rPr>
          <w:rFonts w:ascii="Times New Roman" w:hAnsi="Times New Roman" w:eastAsia="仿宋_GB2312" w:cs="Times New Roman"/>
          <w:sz w:val="24"/>
        </w:rPr>
        <w:t>专业认证、专业评估的研究。</w:t>
      </w:r>
    </w:p>
    <w:p>
      <w:pPr>
        <w:spacing w:line="460" w:lineRule="exact"/>
        <w:ind w:firstLine="482" w:firstLineChars="200"/>
        <w:rPr>
          <w:rFonts w:ascii="Times New Roman" w:hAnsi="Times New Roman" w:eastAsia="仿宋_GB2312" w:cs="Times New Roman"/>
          <w:b/>
          <w:bCs/>
          <w:sz w:val="24"/>
        </w:rPr>
      </w:pPr>
      <w:r>
        <w:rPr>
          <w:rFonts w:ascii="Times New Roman" w:hAnsi="Times New Roman" w:eastAsia="仿宋_GB2312" w:cs="Times New Roman"/>
          <w:b/>
          <w:bCs/>
          <w:sz w:val="24"/>
        </w:rPr>
        <w:t>二、课程建设</w:t>
      </w:r>
    </w:p>
    <w:p>
      <w:pPr>
        <w:spacing w:line="460" w:lineRule="exact"/>
        <w:ind w:firstLine="480" w:firstLineChars="200"/>
        <w:rPr>
          <w:rFonts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</w:rPr>
        <w:t>1、</w:t>
      </w:r>
      <w:r>
        <w:rPr>
          <w:rFonts w:ascii="Times New Roman" w:hAnsi="Times New Roman" w:eastAsia="仿宋_GB2312" w:cs="Times New Roman"/>
          <w:sz w:val="24"/>
        </w:rPr>
        <w:t>线上、线上线下混合、线下、虚拟仿真实验和社会实践等金课建设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研究</w:t>
      </w:r>
      <w:r>
        <w:rPr>
          <w:rFonts w:ascii="Times New Roman" w:hAnsi="Times New Roman" w:eastAsia="仿宋_GB2312" w:cs="Times New Roman"/>
          <w:sz w:val="24"/>
        </w:rPr>
        <w:t>；</w:t>
      </w:r>
    </w:p>
    <w:p>
      <w:pPr>
        <w:spacing w:line="460" w:lineRule="exact"/>
        <w:ind w:firstLine="480" w:firstLineChars="200"/>
        <w:rPr>
          <w:rFonts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</w:rPr>
        <w:t>2、</w:t>
      </w:r>
      <w:r>
        <w:rPr>
          <w:rFonts w:ascii="Times New Roman" w:hAnsi="Times New Roman" w:eastAsia="仿宋_GB2312" w:cs="Times New Roman"/>
          <w:sz w:val="24"/>
        </w:rPr>
        <w:t>“课程思政”建设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研究</w:t>
      </w:r>
      <w:r>
        <w:rPr>
          <w:rFonts w:ascii="Times New Roman" w:hAnsi="Times New Roman" w:eastAsia="仿宋_GB2312" w:cs="Times New Roman"/>
          <w:sz w:val="24"/>
        </w:rPr>
        <w:t>；</w:t>
      </w:r>
    </w:p>
    <w:p>
      <w:pPr>
        <w:spacing w:line="460" w:lineRule="exact"/>
        <w:ind w:firstLine="480" w:firstLineChars="200"/>
        <w:rPr>
          <w:rFonts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</w:rPr>
        <w:t>3、</w:t>
      </w:r>
      <w:r>
        <w:rPr>
          <w:rFonts w:ascii="Times New Roman" w:hAnsi="Times New Roman" w:eastAsia="仿宋_GB2312" w:cs="Times New Roman"/>
          <w:sz w:val="24"/>
        </w:rPr>
        <w:t>适应新工科人才培养的课程体系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研究</w:t>
      </w:r>
      <w:r>
        <w:rPr>
          <w:rFonts w:ascii="Times New Roman" w:hAnsi="Times New Roman" w:eastAsia="仿宋_GB2312" w:cs="Times New Roman"/>
          <w:sz w:val="24"/>
        </w:rPr>
        <w:t>；</w:t>
      </w:r>
    </w:p>
    <w:p>
      <w:pPr>
        <w:spacing w:line="460" w:lineRule="exact"/>
        <w:ind w:firstLine="480" w:firstLineChars="200"/>
        <w:rPr>
          <w:rFonts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</w:rPr>
        <w:t>4、</w:t>
      </w:r>
      <w:r>
        <w:rPr>
          <w:rFonts w:ascii="Times New Roman" w:hAnsi="Times New Roman" w:eastAsia="仿宋_GB2312" w:cs="Times New Roman"/>
          <w:sz w:val="24"/>
        </w:rPr>
        <w:t>专业核心课程的建设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研究</w:t>
      </w:r>
      <w:r>
        <w:rPr>
          <w:rFonts w:ascii="Times New Roman" w:hAnsi="Times New Roman" w:eastAsia="仿宋_GB2312" w:cs="Times New Roman"/>
          <w:sz w:val="24"/>
        </w:rPr>
        <w:t>；</w:t>
      </w:r>
    </w:p>
    <w:p>
      <w:pPr>
        <w:spacing w:line="460" w:lineRule="exact"/>
        <w:ind w:firstLine="480" w:firstLineChars="200"/>
        <w:rPr>
          <w:rFonts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</w:rPr>
        <w:t>5、</w:t>
      </w:r>
      <w:r>
        <w:rPr>
          <w:rFonts w:ascii="Times New Roman" w:hAnsi="Times New Roman" w:eastAsia="仿宋_GB2312" w:cs="Times New Roman"/>
          <w:sz w:val="24"/>
        </w:rPr>
        <w:t>产教融合型课程研究。</w:t>
      </w:r>
    </w:p>
    <w:p>
      <w:pPr>
        <w:spacing w:line="460" w:lineRule="exact"/>
        <w:ind w:firstLine="482" w:firstLineChars="200"/>
        <w:rPr>
          <w:rFonts w:ascii="Times New Roman" w:hAnsi="Times New Roman" w:eastAsia="仿宋_GB2312" w:cs="Times New Roman"/>
          <w:b/>
          <w:bCs/>
          <w:sz w:val="24"/>
        </w:rPr>
      </w:pPr>
      <w:r>
        <w:rPr>
          <w:rFonts w:ascii="Times New Roman" w:hAnsi="Times New Roman" w:eastAsia="仿宋_GB2312" w:cs="Times New Roman"/>
          <w:b/>
          <w:bCs/>
          <w:sz w:val="24"/>
        </w:rPr>
        <w:t>三、人才培养模式改革</w:t>
      </w:r>
    </w:p>
    <w:p>
      <w:pPr>
        <w:spacing w:line="460" w:lineRule="exact"/>
        <w:ind w:firstLine="480" w:firstLineChars="200"/>
        <w:rPr>
          <w:rFonts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</w:rPr>
        <w:t>1、</w:t>
      </w:r>
      <w:r>
        <w:rPr>
          <w:rFonts w:ascii="Times New Roman" w:hAnsi="Times New Roman" w:eastAsia="仿宋_GB2312" w:cs="Times New Roman"/>
          <w:sz w:val="24"/>
        </w:rPr>
        <w:t>“以学生为中心”理念在人才培养中的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应用研究</w:t>
      </w:r>
      <w:r>
        <w:rPr>
          <w:rFonts w:ascii="Times New Roman" w:hAnsi="Times New Roman" w:eastAsia="仿宋_GB2312" w:cs="Times New Roman"/>
          <w:sz w:val="24"/>
        </w:rPr>
        <w:t>；</w:t>
      </w:r>
    </w:p>
    <w:p>
      <w:pPr>
        <w:spacing w:line="460" w:lineRule="exact"/>
        <w:ind w:firstLine="480" w:firstLineChars="200"/>
        <w:rPr>
          <w:rFonts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</w:rPr>
        <w:t>2、</w:t>
      </w:r>
      <w:r>
        <w:rPr>
          <w:rFonts w:ascii="Times New Roman" w:hAnsi="Times New Roman" w:eastAsia="仿宋_GB2312" w:cs="Times New Roman"/>
          <w:sz w:val="24"/>
        </w:rPr>
        <w:t>体育、美育、劳动教育过程管理研究；</w:t>
      </w:r>
    </w:p>
    <w:p>
      <w:pPr>
        <w:spacing w:line="460" w:lineRule="exact"/>
        <w:ind w:firstLine="480" w:firstLineChars="200"/>
        <w:rPr>
          <w:rFonts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</w:rPr>
        <w:t>3、</w:t>
      </w:r>
      <w:r>
        <w:rPr>
          <w:rFonts w:ascii="Times New Roman" w:hAnsi="Times New Roman" w:eastAsia="仿宋_GB2312" w:cs="Times New Roman"/>
          <w:sz w:val="24"/>
        </w:rPr>
        <w:t>德智体美劳全面发展的教育体系的构建研究；</w:t>
      </w:r>
    </w:p>
    <w:p>
      <w:pPr>
        <w:spacing w:line="460" w:lineRule="exact"/>
        <w:ind w:firstLine="482" w:firstLineChars="200"/>
        <w:rPr>
          <w:rFonts w:ascii="Times New Roman" w:hAnsi="Times New Roman" w:eastAsia="仿宋_GB2312" w:cs="Times New Roman"/>
          <w:b/>
          <w:bCs/>
          <w:sz w:val="24"/>
        </w:rPr>
      </w:pPr>
      <w:r>
        <w:rPr>
          <w:rFonts w:ascii="Times New Roman" w:hAnsi="Times New Roman" w:eastAsia="仿宋_GB2312" w:cs="Times New Roman"/>
          <w:b/>
          <w:bCs/>
          <w:sz w:val="24"/>
        </w:rPr>
        <w:t>四、教学方法改革</w:t>
      </w:r>
    </w:p>
    <w:p>
      <w:pPr>
        <w:spacing w:line="460" w:lineRule="exact"/>
        <w:ind w:firstLine="480" w:firstLineChars="200"/>
        <w:rPr>
          <w:rFonts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</w:rPr>
        <w:t>1、</w:t>
      </w:r>
      <w:r>
        <w:rPr>
          <w:rFonts w:ascii="Times New Roman" w:hAnsi="Times New Roman" w:eastAsia="仿宋_GB2312" w:cs="Times New Roman"/>
          <w:sz w:val="24"/>
        </w:rPr>
        <w:t>基于“两性一度”的课程考核与评价体系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研究</w:t>
      </w:r>
      <w:r>
        <w:rPr>
          <w:rFonts w:ascii="Times New Roman" w:hAnsi="Times New Roman" w:eastAsia="仿宋_GB2312" w:cs="Times New Roman"/>
          <w:sz w:val="24"/>
        </w:rPr>
        <w:t>；</w:t>
      </w:r>
    </w:p>
    <w:p>
      <w:pPr>
        <w:spacing w:line="460" w:lineRule="exact"/>
        <w:ind w:firstLine="480" w:firstLineChars="200"/>
        <w:rPr>
          <w:rFonts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</w:rPr>
        <w:t>2、</w:t>
      </w:r>
      <w:r>
        <w:rPr>
          <w:rFonts w:ascii="Times New Roman" w:hAnsi="Times New Roman" w:eastAsia="仿宋_GB2312" w:cs="Times New Roman"/>
          <w:sz w:val="24"/>
        </w:rPr>
        <w:t>互联网、大数据信息技术与教育教学深度融合的研究；</w:t>
      </w:r>
    </w:p>
    <w:p>
      <w:pPr>
        <w:spacing w:line="460" w:lineRule="exact"/>
        <w:ind w:firstLine="482" w:firstLineChars="200"/>
        <w:rPr>
          <w:rFonts w:ascii="Times New Roman" w:hAnsi="Times New Roman" w:eastAsia="仿宋_GB2312" w:cs="Times New Roman"/>
          <w:b/>
          <w:bCs/>
          <w:sz w:val="24"/>
        </w:rPr>
      </w:pPr>
      <w:r>
        <w:rPr>
          <w:rFonts w:ascii="Times New Roman" w:hAnsi="Times New Roman" w:eastAsia="仿宋_GB2312" w:cs="Times New Roman"/>
          <w:b/>
          <w:bCs/>
          <w:sz w:val="24"/>
        </w:rPr>
        <w:t>五、实践教学改革</w:t>
      </w:r>
    </w:p>
    <w:p>
      <w:pPr>
        <w:spacing w:line="460" w:lineRule="exact"/>
        <w:ind w:firstLine="480" w:firstLineChars="200"/>
        <w:rPr>
          <w:rFonts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</w:rPr>
        <w:t>1、分层次、多载体的</w:t>
      </w:r>
      <w:r>
        <w:rPr>
          <w:rFonts w:ascii="Times New Roman" w:hAnsi="Times New Roman" w:eastAsia="仿宋_GB2312" w:cs="Times New Roman"/>
          <w:sz w:val="24"/>
        </w:rPr>
        <w:t>实践教学</w:t>
      </w:r>
      <w:r>
        <w:rPr>
          <w:rFonts w:hint="eastAsia" w:ascii="Times New Roman" w:hAnsi="Times New Roman" w:eastAsia="仿宋_GB2312" w:cs="Times New Roman"/>
          <w:sz w:val="24"/>
        </w:rPr>
        <w:t>体系</w:t>
      </w:r>
      <w:r>
        <w:rPr>
          <w:rFonts w:ascii="Times New Roman" w:hAnsi="Times New Roman" w:eastAsia="仿宋_GB2312" w:cs="Times New Roman"/>
          <w:sz w:val="24"/>
        </w:rPr>
        <w:t>研究；</w:t>
      </w:r>
    </w:p>
    <w:p>
      <w:pPr>
        <w:spacing w:line="460" w:lineRule="exact"/>
        <w:ind w:firstLine="480" w:firstLineChars="200"/>
        <w:rPr>
          <w:rFonts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</w:rPr>
        <w:t>2、</w:t>
      </w:r>
      <w:r>
        <w:rPr>
          <w:rFonts w:ascii="Times New Roman" w:hAnsi="Times New Roman" w:eastAsia="仿宋_GB2312" w:cs="Times New Roman"/>
          <w:sz w:val="24"/>
        </w:rPr>
        <w:t>实践教学共享平台建设研究；</w:t>
      </w:r>
    </w:p>
    <w:p>
      <w:pPr>
        <w:spacing w:line="460" w:lineRule="exact"/>
        <w:ind w:firstLine="480" w:firstLineChars="200"/>
        <w:rPr>
          <w:rFonts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</w:rPr>
        <w:t>3、项目载体的综合性实践教学研究。</w:t>
      </w:r>
    </w:p>
    <w:p>
      <w:pPr>
        <w:spacing w:line="460" w:lineRule="exact"/>
        <w:ind w:firstLine="482" w:firstLineChars="200"/>
        <w:rPr>
          <w:rFonts w:ascii="Times New Roman" w:hAnsi="Times New Roman" w:eastAsia="仿宋_GB2312" w:cs="Times New Roman"/>
          <w:b/>
          <w:bCs/>
          <w:sz w:val="24"/>
        </w:rPr>
      </w:pPr>
      <w:r>
        <w:rPr>
          <w:rFonts w:ascii="Times New Roman" w:hAnsi="Times New Roman" w:eastAsia="仿宋_GB2312" w:cs="Times New Roman"/>
          <w:b/>
          <w:bCs/>
          <w:sz w:val="24"/>
        </w:rPr>
        <w:t>六、创新创业教育改革</w:t>
      </w:r>
    </w:p>
    <w:p>
      <w:pPr>
        <w:spacing w:line="460" w:lineRule="exact"/>
        <w:ind w:firstLine="480" w:firstLineChars="200"/>
        <w:rPr>
          <w:rFonts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</w:rPr>
        <w:t>1、</w:t>
      </w:r>
      <w:r>
        <w:rPr>
          <w:rFonts w:ascii="Times New Roman" w:hAnsi="Times New Roman" w:eastAsia="仿宋_GB2312" w:cs="Times New Roman"/>
          <w:sz w:val="24"/>
        </w:rPr>
        <w:t>创新创业教育贯穿人才培养全过程研究；</w:t>
      </w:r>
    </w:p>
    <w:p>
      <w:pPr>
        <w:spacing w:line="460" w:lineRule="exact"/>
        <w:ind w:firstLine="480" w:firstLineChars="200"/>
        <w:rPr>
          <w:rFonts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</w:rPr>
        <w:t>2、</w:t>
      </w:r>
      <w:r>
        <w:rPr>
          <w:rFonts w:ascii="Times New Roman" w:hAnsi="Times New Roman" w:eastAsia="仿宋_GB2312" w:cs="Times New Roman"/>
          <w:sz w:val="24"/>
        </w:rPr>
        <w:t>创新创业教育课程体系研究；</w:t>
      </w:r>
    </w:p>
    <w:p>
      <w:pPr>
        <w:spacing w:line="460" w:lineRule="exact"/>
        <w:ind w:firstLine="480" w:firstLineChars="200"/>
        <w:rPr>
          <w:rFonts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</w:rPr>
        <w:t>3、</w:t>
      </w:r>
      <w:r>
        <w:rPr>
          <w:rFonts w:ascii="Times New Roman" w:hAnsi="Times New Roman" w:eastAsia="仿宋_GB2312" w:cs="Times New Roman"/>
          <w:sz w:val="24"/>
        </w:rPr>
        <w:t>创新创业教育融入专业教育实践研究；</w:t>
      </w:r>
    </w:p>
    <w:p>
      <w:pPr>
        <w:spacing w:line="460" w:lineRule="exact"/>
        <w:ind w:firstLine="480" w:firstLineChars="200"/>
        <w:rPr>
          <w:rFonts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</w:rPr>
        <w:t>4、</w:t>
      </w:r>
      <w:r>
        <w:rPr>
          <w:rFonts w:ascii="Times New Roman" w:hAnsi="Times New Roman" w:eastAsia="仿宋_GB2312" w:cs="Times New Roman"/>
          <w:sz w:val="24"/>
        </w:rPr>
        <w:t>大学生学科竞赛对高素质创新人才培养的作用研究。</w:t>
      </w:r>
    </w:p>
    <w:p>
      <w:pPr>
        <w:spacing w:line="460" w:lineRule="exact"/>
        <w:ind w:firstLine="480" w:firstLineChars="200"/>
        <w:rPr>
          <w:rFonts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</w:rPr>
        <w:t>5、思创融合、专创融合、产创融合的创新创业教育研究。</w:t>
      </w:r>
      <w:r>
        <w:rPr>
          <w:rFonts w:ascii="Times New Roman" w:hAnsi="Times New Roman" w:eastAsia="仿宋_GB2312" w:cs="Times New Roman"/>
          <w:sz w:val="24"/>
        </w:rPr>
        <w:t xml:space="preserve"> </w:t>
      </w:r>
    </w:p>
    <w:p>
      <w:pPr>
        <w:spacing w:line="460" w:lineRule="exact"/>
        <w:ind w:firstLine="482" w:firstLineChars="200"/>
        <w:rPr>
          <w:rFonts w:ascii="Times New Roman" w:hAnsi="Times New Roman" w:eastAsia="仿宋_GB2312" w:cs="Times New Roman"/>
          <w:b/>
          <w:bCs/>
          <w:sz w:val="24"/>
        </w:rPr>
      </w:pPr>
      <w:r>
        <w:rPr>
          <w:rFonts w:ascii="Times New Roman" w:hAnsi="Times New Roman" w:eastAsia="仿宋_GB2312" w:cs="Times New Roman"/>
          <w:b/>
          <w:bCs/>
          <w:sz w:val="24"/>
        </w:rPr>
        <w:t>七、“四新”研究与实践</w:t>
      </w:r>
    </w:p>
    <w:p>
      <w:pPr>
        <w:spacing w:line="460" w:lineRule="exact"/>
        <w:ind w:firstLine="480" w:firstLineChars="200"/>
        <w:rPr>
          <w:rFonts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</w:rPr>
        <w:t>1、</w:t>
      </w:r>
      <w:r>
        <w:rPr>
          <w:rFonts w:ascii="Times New Roman" w:hAnsi="Times New Roman" w:eastAsia="仿宋_GB2312" w:cs="Times New Roman"/>
          <w:sz w:val="24"/>
        </w:rPr>
        <w:t>“四新”专业结构调整优化机制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研究</w:t>
      </w:r>
      <w:r>
        <w:rPr>
          <w:rFonts w:ascii="Times New Roman" w:hAnsi="Times New Roman" w:eastAsia="仿宋_GB2312" w:cs="Times New Roman"/>
          <w:sz w:val="24"/>
        </w:rPr>
        <w:t>；</w:t>
      </w:r>
    </w:p>
    <w:p>
      <w:pPr>
        <w:spacing w:line="460" w:lineRule="exact"/>
        <w:ind w:firstLine="480" w:firstLineChars="200"/>
        <w:rPr>
          <w:rFonts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</w:rPr>
        <w:t>2、</w:t>
      </w:r>
      <w:r>
        <w:rPr>
          <w:rFonts w:ascii="Times New Roman" w:hAnsi="Times New Roman" w:eastAsia="仿宋_GB2312" w:cs="Times New Roman"/>
          <w:sz w:val="24"/>
        </w:rPr>
        <w:t>传统专业改造升级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方法研究</w:t>
      </w:r>
      <w:r>
        <w:rPr>
          <w:rFonts w:ascii="Times New Roman" w:hAnsi="Times New Roman" w:eastAsia="仿宋_GB2312" w:cs="Times New Roman"/>
          <w:sz w:val="24"/>
        </w:rPr>
        <w:t>；</w:t>
      </w:r>
    </w:p>
    <w:p>
      <w:pPr>
        <w:spacing w:line="460" w:lineRule="exact"/>
        <w:ind w:firstLine="480" w:firstLineChars="200"/>
        <w:rPr>
          <w:rFonts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</w:rPr>
        <w:t>3、</w:t>
      </w:r>
      <w:r>
        <w:rPr>
          <w:rFonts w:ascii="Times New Roman" w:hAnsi="Times New Roman" w:eastAsia="仿宋_GB2312" w:cs="Times New Roman"/>
          <w:sz w:val="24"/>
        </w:rPr>
        <w:t>面向区域产业急需的现代产业学院建设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研究</w:t>
      </w:r>
      <w:r>
        <w:rPr>
          <w:rFonts w:ascii="Times New Roman" w:hAnsi="Times New Roman" w:eastAsia="仿宋_GB2312" w:cs="Times New Roman"/>
          <w:sz w:val="24"/>
        </w:rPr>
        <w:t>；</w:t>
      </w:r>
    </w:p>
    <w:p>
      <w:pPr>
        <w:spacing w:line="460" w:lineRule="exact"/>
        <w:ind w:firstLine="480" w:firstLineChars="200"/>
        <w:rPr>
          <w:rFonts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</w:rPr>
        <w:t>4、</w:t>
      </w:r>
      <w:r>
        <w:rPr>
          <w:rFonts w:ascii="Times New Roman" w:hAnsi="Times New Roman" w:eastAsia="仿宋_GB2312" w:cs="Times New Roman"/>
          <w:sz w:val="24"/>
        </w:rPr>
        <w:t>“四新”通专融合课程及教材体系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建设研究</w:t>
      </w:r>
      <w:r>
        <w:rPr>
          <w:rFonts w:ascii="Times New Roman" w:hAnsi="Times New Roman" w:eastAsia="仿宋_GB2312" w:cs="Times New Roman"/>
          <w:sz w:val="24"/>
        </w:rPr>
        <w:t>；</w:t>
      </w:r>
    </w:p>
    <w:p>
      <w:pPr>
        <w:spacing w:line="460" w:lineRule="exact"/>
        <w:ind w:firstLine="482" w:firstLineChars="200"/>
        <w:rPr>
          <w:rFonts w:ascii="Times New Roman" w:hAnsi="Times New Roman" w:eastAsia="仿宋_GB2312" w:cs="Times New Roman"/>
          <w:b/>
          <w:bCs/>
          <w:sz w:val="24"/>
        </w:rPr>
      </w:pPr>
      <w:r>
        <w:rPr>
          <w:rFonts w:ascii="Times New Roman" w:hAnsi="Times New Roman" w:eastAsia="仿宋_GB2312" w:cs="Times New Roman"/>
          <w:b/>
          <w:bCs/>
          <w:sz w:val="24"/>
        </w:rPr>
        <w:t>八、教师教学发展研究</w:t>
      </w:r>
    </w:p>
    <w:p>
      <w:pPr>
        <w:spacing w:line="460" w:lineRule="exact"/>
        <w:ind w:firstLine="480" w:firstLineChars="200"/>
        <w:rPr>
          <w:rFonts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</w:rPr>
        <w:t>1、</w:t>
      </w:r>
      <w:r>
        <w:rPr>
          <w:rFonts w:ascii="Times New Roman" w:hAnsi="Times New Roman" w:eastAsia="仿宋_GB2312" w:cs="Times New Roman"/>
          <w:sz w:val="24"/>
        </w:rPr>
        <w:t>师德师风建设研究；</w:t>
      </w:r>
    </w:p>
    <w:p>
      <w:pPr>
        <w:spacing w:line="460" w:lineRule="exact"/>
        <w:ind w:firstLine="480" w:firstLineChars="200"/>
        <w:rPr>
          <w:rFonts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</w:rPr>
        <w:t>2、</w:t>
      </w:r>
      <w:r>
        <w:rPr>
          <w:rFonts w:ascii="Times New Roman" w:hAnsi="Times New Roman" w:eastAsia="仿宋_GB2312" w:cs="Times New Roman"/>
          <w:sz w:val="24"/>
        </w:rPr>
        <w:t>教师发展策略研究；</w:t>
      </w:r>
    </w:p>
    <w:p>
      <w:pPr>
        <w:spacing w:line="460" w:lineRule="exact"/>
        <w:ind w:firstLine="480" w:firstLineChars="200"/>
        <w:rPr>
          <w:rFonts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</w:rPr>
        <w:t>3、</w:t>
      </w:r>
      <w:r>
        <w:rPr>
          <w:rFonts w:ascii="Times New Roman" w:hAnsi="Times New Roman" w:eastAsia="仿宋_GB2312" w:cs="Times New Roman"/>
          <w:sz w:val="24"/>
        </w:rPr>
        <w:t>特色校本教师发展培训</w:t>
      </w:r>
      <w:r>
        <w:rPr>
          <w:rFonts w:hint="eastAsia" w:ascii="Times New Roman" w:hAnsi="Times New Roman" w:eastAsia="仿宋_GB2312" w:cs="Times New Roman"/>
          <w:sz w:val="24"/>
        </w:rPr>
        <w:t>体系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研究</w:t>
      </w:r>
      <w:bookmarkStart w:id="0" w:name="_GoBack"/>
      <w:bookmarkEnd w:id="0"/>
      <w:r>
        <w:rPr>
          <w:rFonts w:ascii="Times New Roman" w:hAnsi="Times New Roman" w:eastAsia="仿宋_GB2312" w:cs="Times New Roman"/>
          <w:sz w:val="24"/>
        </w:rPr>
        <w:t xml:space="preserve">； </w:t>
      </w:r>
    </w:p>
    <w:p>
      <w:pPr>
        <w:spacing w:line="460" w:lineRule="exact"/>
        <w:ind w:firstLine="482" w:firstLineChars="200"/>
        <w:rPr>
          <w:rFonts w:ascii="Times New Roman" w:hAnsi="Times New Roman" w:eastAsia="仿宋_GB2312" w:cs="Times New Roman"/>
          <w:b/>
          <w:bCs/>
          <w:sz w:val="24"/>
        </w:rPr>
      </w:pPr>
      <w:r>
        <w:rPr>
          <w:rFonts w:ascii="Times New Roman" w:hAnsi="Times New Roman" w:eastAsia="仿宋_GB2312" w:cs="Times New Roman"/>
          <w:b/>
          <w:bCs/>
          <w:sz w:val="24"/>
        </w:rPr>
        <w:t>九、</w:t>
      </w:r>
      <w:r>
        <w:rPr>
          <w:rFonts w:ascii="Times New Roman" w:hAnsi="Times New Roman" w:eastAsia="仿宋_GB2312" w:cs="Times New Roman"/>
          <w:sz w:val="24"/>
        </w:rPr>
        <w:t>未列入指南，但具有鲜明特色，较高研究价值，能在一定范围内进行改革实践，有助于提高人才培养质量的研究。</w:t>
      </w:r>
    </w:p>
    <w:p>
      <w:pPr>
        <w:spacing w:line="460" w:lineRule="exact"/>
        <w:rPr>
          <w:rFonts w:ascii="Times New Roman" w:hAnsi="Times New Roman" w:eastAsia="仿宋_GB2312" w:cs="Times New Roman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iMWEyN2U4MmY1Y2ZjZDRjNmQ0NGJkYjZkNjdhY2QifQ=="/>
  </w:docVars>
  <w:rsids>
    <w:rsidRoot w:val="401A255F"/>
    <w:rsid w:val="000432C8"/>
    <w:rsid w:val="000A0D22"/>
    <w:rsid w:val="000B401B"/>
    <w:rsid w:val="000C32BA"/>
    <w:rsid w:val="0016211A"/>
    <w:rsid w:val="00164615"/>
    <w:rsid w:val="001F1465"/>
    <w:rsid w:val="00210102"/>
    <w:rsid w:val="002359EE"/>
    <w:rsid w:val="0028106C"/>
    <w:rsid w:val="002B12A7"/>
    <w:rsid w:val="002C0F72"/>
    <w:rsid w:val="002F4852"/>
    <w:rsid w:val="00306132"/>
    <w:rsid w:val="00356C54"/>
    <w:rsid w:val="003B3B68"/>
    <w:rsid w:val="003C27D2"/>
    <w:rsid w:val="003F3DA5"/>
    <w:rsid w:val="004962FA"/>
    <w:rsid w:val="005008F2"/>
    <w:rsid w:val="00566C1B"/>
    <w:rsid w:val="00615E75"/>
    <w:rsid w:val="006A5BB4"/>
    <w:rsid w:val="0073402C"/>
    <w:rsid w:val="00777D8E"/>
    <w:rsid w:val="007C597F"/>
    <w:rsid w:val="007E0CE3"/>
    <w:rsid w:val="007E479F"/>
    <w:rsid w:val="0088078E"/>
    <w:rsid w:val="008B58AA"/>
    <w:rsid w:val="008B7040"/>
    <w:rsid w:val="008C053C"/>
    <w:rsid w:val="00935F58"/>
    <w:rsid w:val="009A69DB"/>
    <w:rsid w:val="00A225E3"/>
    <w:rsid w:val="00A35ABD"/>
    <w:rsid w:val="00A40035"/>
    <w:rsid w:val="00A615F8"/>
    <w:rsid w:val="00A857C9"/>
    <w:rsid w:val="00AC4A4B"/>
    <w:rsid w:val="00B57BAA"/>
    <w:rsid w:val="00B67184"/>
    <w:rsid w:val="00B90A9B"/>
    <w:rsid w:val="00BB0AAD"/>
    <w:rsid w:val="00CE3086"/>
    <w:rsid w:val="00D46F12"/>
    <w:rsid w:val="00D54EC4"/>
    <w:rsid w:val="00DF06C4"/>
    <w:rsid w:val="00E21C32"/>
    <w:rsid w:val="00F33BC9"/>
    <w:rsid w:val="00FA0E86"/>
    <w:rsid w:val="00FB7082"/>
    <w:rsid w:val="00FC3A65"/>
    <w:rsid w:val="00FC3FA3"/>
    <w:rsid w:val="00FE7A7F"/>
    <w:rsid w:val="010D0A34"/>
    <w:rsid w:val="01FF3D5E"/>
    <w:rsid w:val="058648B9"/>
    <w:rsid w:val="07B274F4"/>
    <w:rsid w:val="084E6940"/>
    <w:rsid w:val="09E6390A"/>
    <w:rsid w:val="0B9861A1"/>
    <w:rsid w:val="0B9E2C1D"/>
    <w:rsid w:val="0C6D01DD"/>
    <w:rsid w:val="0C8740D0"/>
    <w:rsid w:val="0CCB561F"/>
    <w:rsid w:val="0D9D5894"/>
    <w:rsid w:val="0FCA7BBA"/>
    <w:rsid w:val="11774306"/>
    <w:rsid w:val="12796BB2"/>
    <w:rsid w:val="129136D8"/>
    <w:rsid w:val="13BC783E"/>
    <w:rsid w:val="161D29D0"/>
    <w:rsid w:val="169F4087"/>
    <w:rsid w:val="16BA10D8"/>
    <w:rsid w:val="17B35053"/>
    <w:rsid w:val="1BAB0400"/>
    <w:rsid w:val="1BF74482"/>
    <w:rsid w:val="1D10624A"/>
    <w:rsid w:val="1F0B7116"/>
    <w:rsid w:val="20461AAE"/>
    <w:rsid w:val="20E373A2"/>
    <w:rsid w:val="2321433E"/>
    <w:rsid w:val="26BC3587"/>
    <w:rsid w:val="26E06DFB"/>
    <w:rsid w:val="2AAC1726"/>
    <w:rsid w:val="2CD3651F"/>
    <w:rsid w:val="3363731F"/>
    <w:rsid w:val="33983CEF"/>
    <w:rsid w:val="34745B3A"/>
    <w:rsid w:val="34A04ECC"/>
    <w:rsid w:val="357A75FA"/>
    <w:rsid w:val="37E123F5"/>
    <w:rsid w:val="38336C6C"/>
    <w:rsid w:val="3864250C"/>
    <w:rsid w:val="39CB3F8E"/>
    <w:rsid w:val="3B621BB3"/>
    <w:rsid w:val="3BD07399"/>
    <w:rsid w:val="3E06163A"/>
    <w:rsid w:val="3E0C56DC"/>
    <w:rsid w:val="3E0D72F9"/>
    <w:rsid w:val="3F31678A"/>
    <w:rsid w:val="401A255F"/>
    <w:rsid w:val="40440617"/>
    <w:rsid w:val="4170316A"/>
    <w:rsid w:val="42C50575"/>
    <w:rsid w:val="44170C85"/>
    <w:rsid w:val="447259BA"/>
    <w:rsid w:val="44EF595C"/>
    <w:rsid w:val="45120EAB"/>
    <w:rsid w:val="47902EB5"/>
    <w:rsid w:val="49AC3423"/>
    <w:rsid w:val="4B025C0A"/>
    <w:rsid w:val="4B3E7D56"/>
    <w:rsid w:val="4D4A4BE6"/>
    <w:rsid w:val="4D6420F9"/>
    <w:rsid w:val="4DE92215"/>
    <w:rsid w:val="4EE50E1D"/>
    <w:rsid w:val="52F32EAC"/>
    <w:rsid w:val="53700C87"/>
    <w:rsid w:val="53B01DA2"/>
    <w:rsid w:val="54E07557"/>
    <w:rsid w:val="55FF3A9A"/>
    <w:rsid w:val="57062CF0"/>
    <w:rsid w:val="583C3F2E"/>
    <w:rsid w:val="599D5403"/>
    <w:rsid w:val="5E5F0153"/>
    <w:rsid w:val="5E7245A7"/>
    <w:rsid w:val="5F4C13B2"/>
    <w:rsid w:val="60D43374"/>
    <w:rsid w:val="62184085"/>
    <w:rsid w:val="6498236D"/>
    <w:rsid w:val="6AC61BCD"/>
    <w:rsid w:val="6D2A76AF"/>
    <w:rsid w:val="6D4C20E2"/>
    <w:rsid w:val="6D535020"/>
    <w:rsid w:val="6F3D4F41"/>
    <w:rsid w:val="70135889"/>
    <w:rsid w:val="75AC5EF3"/>
    <w:rsid w:val="7662173F"/>
    <w:rsid w:val="77704C1F"/>
    <w:rsid w:val="7EB9007A"/>
    <w:rsid w:val="7FB31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630"/>
    </w:pPr>
    <w:rPr>
      <w:rFonts w:ascii="黑体" w:hAnsi="华文仿宋" w:eastAsia="黑体"/>
      <w:sz w:val="32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character" w:styleId="8">
    <w:name w:val="Strong"/>
    <w:basedOn w:val="7"/>
    <w:qFormat/>
    <w:uiPriority w:val="0"/>
    <w:rPr>
      <w:b/>
      <w:bCs/>
    </w:rPr>
  </w:style>
  <w:style w:type="character" w:customStyle="1" w:styleId="9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Microsoft</Company>
  <Pages>2</Pages>
  <Words>135</Words>
  <Characters>775</Characters>
  <Lines>6</Lines>
  <Paragraphs>1</Paragraphs>
  <TotalTime>4</TotalTime>
  <ScaleCrop>false</ScaleCrop>
  <LinksUpToDate>false</LinksUpToDate>
  <CharactersWithSpaces>909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2023-11-22T04:31:00Z</dcterms:created>
  <dc:creator>胡婕</dc:creator>
  <cp:lastModifiedBy>♔吕♔</cp:lastModifiedBy>
  <cp:lastPrinted>2021-07-05T00:41:00Z</cp:lastPrinted>
  <dcterms:modified xsi:type="dcterms:W3CDTF">2023-11-22T04:44:16Z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A345FD3130CE444EBF70AEE451276098_13</vt:lpwstr>
  </property>
</Properties>
</file>