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D061B"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附件3：</w:t>
      </w:r>
    </w:p>
    <w:p w14:paraId="0A81963F">
      <w:pPr>
        <w:widowControl/>
        <w:spacing w:before="100" w:beforeAutospacing="1" w:after="100" w:afterAutospacing="1"/>
        <w:jc w:val="center"/>
        <w:rPr>
          <w:rFonts w:ascii="Times New Roman" w:hAnsi="Times New Roman" w:eastAsia="微软雅黑" w:cs="Times New Roman"/>
          <w:b/>
          <w:bCs/>
          <w:kern w:val="0"/>
          <w:sz w:val="36"/>
          <w:szCs w:val="36"/>
        </w:rPr>
      </w:pPr>
      <w:r>
        <w:rPr>
          <w:rFonts w:ascii="Times New Roman" w:hAnsi="Times New Roman" w:eastAsia="微软雅黑" w:cs="Times New Roman"/>
          <w:b/>
          <w:bCs/>
          <w:kern w:val="0"/>
          <w:sz w:val="36"/>
          <w:szCs w:val="36"/>
        </w:rPr>
        <w:t>202</w:t>
      </w:r>
      <w:r>
        <w:rPr>
          <w:rFonts w:hint="eastAsia" w:ascii="Times New Roman" w:hAnsi="Times New Roman" w:eastAsia="微软雅黑" w:cs="Times New Roman"/>
          <w:b/>
          <w:bCs/>
          <w:kern w:val="0"/>
          <w:sz w:val="36"/>
          <w:szCs w:val="36"/>
        </w:rPr>
        <w:t>4</w:t>
      </w:r>
      <w:r>
        <w:rPr>
          <w:rFonts w:ascii="Times New Roman" w:hAnsi="Times New Roman" w:eastAsia="微软雅黑" w:cs="Times New Roman"/>
          <w:b/>
          <w:bCs/>
          <w:kern w:val="0"/>
          <w:sz w:val="36"/>
          <w:szCs w:val="36"/>
        </w:rPr>
        <w:t>年校级</w:t>
      </w:r>
      <w:r>
        <w:rPr>
          <w:rFonts w:hint="eastAsia" w:ascii="Times New Roman" w:hAnsi="Times New Roman" w:eastAsia="微软雅黑" w:cs="Times New Roman"/>
          <w:b/>
          <w:bCs/>
          <w:kern w:val="0"/>
          <w:sz w:val="36"/>
          <w:szCs w:val="36"/>
        </w:rPr>
        <w:t>高等</w:t>
      </w:r>
      <w:r>
        <w:rPr>
          <w:rFonts w:ascii="Times New Roman" w:hAnsi="Times New Roman" w:eastAsia="微软雅黑" w:cs="Times New Roman"/>
          <w:b/>
          <w:bCs/>
          <w:kern w:val="0"/>
          <w:sz w:val="36"/>
          <w:szCs w:val="36"/>
        </w:rPr>
        <w:t>教育研究课题申报指南</w:t>
      </w:r>
    </w:p>
    <w:p w14:paraId="37743984">
      <w:pPr>
        <w:spacing w:line="460" w:lineRule="exact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本指南是课题研究范围和方向，并非具体的课题名称，申请人可参照本指南，根据本单位、学科专业和个人实际，确定具体研究课题。</w:t>
      </w:r>
    </w:p>
    <w:p w14:paraId="7DFFCE8D">
      <w:pPr>
        <w:spacing w:line="460" w:lineRule="exact"/>
        <w:ind w:firstLine="482" w:firstLineChars="200"/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一、专业建设</w:t>
      </w:r>
    </w:p>
    <w:p w14:paraId="39C4E925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1、“四新”专业结构调整优化机制</w:t>
      </w:r>
      <w:r>
        <w:rPr>
          <w:rFonts w:hint="eastAsia" w:ascii="Times New Roman" w:hAnsi="Times New Roman" w:eastAsia="仿宋_GB2312" w:cs="Times New Roman"/>
          <w:sz w:val="24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 w14:paraId="094826A9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2</w:t>
      </w:r>
      <w:r>
        <w:rPr>
          <w:rFonts w:hint="eastAsia" w:ascii="Times New Roman" w:hAnsi="Times New Roman" w:eastAsia="仿宋_GB2312" w:cs="Times New Roman"/>
          <w:sz w:val="24"/>
        </w:rPr>
        <w:t>、</w:t>
      </w:r>
      <w:r>
        <w:rPr>
          <w:rFonts w:ascii="Times New Roman" w:hAnsi="Times New Roman" w:eastAsia="仿宋_GB2312" w:cs="Times New Roman"/>
          <w:sz w:val="24"/>
        </w:rPr>
        <w:t>产教融合型专业建设</w:t>
      </w:r>
      <w:r>
        <w:rPr>
          <w:rFonts w:hint="eastAsia" w:ascii="Times New Roman" w:hAnsi="Times New Roman" w:eastAsia="仿宋_GB2312" w:cs="Times New Roman"/>
          <w:sz w:val="24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 w14:paraId="202CAE84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3、本科专业类教学质量国家标准的应用研究；</w:t>
      </w:r>
    </w:p>
    <w:p w14:paraId="7E28D0E7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4</w:t>
      </w:r>
      <w:r>
        <w:rPr>
          <w:rFonts w:hint="eastAsia" w:ascii="Times New Roman" w:hAnsi="Times New Roman" w:eastAsia="仿宋_GB2312" w:cs="Times New Roman"/>
          <w:sz w:val="24"/>
        </w:rPr>
        <w:t>、</w:t>
      </w:r>
      <w:r>
        <w:rPr>
          <w:rFonts w:ascii="Times New Roman" w:hAnsi="Times New Roman" w:eastAsia="仿宋_GB2312" w:cs="Times New Roman"/>
          <w:sz w:val="24"/>
        </w:rPr>
        <w:t>一流专业建设</w:t>
      </w:r>
      <w:r>
        <w:rPr>
          <w:rFonts w:hint="eastAsia" w:ascii="Times New Roman" w:hAnsi="Times New Roman" w:eastAsia="仿宋_GB2312" w:cs="Times New Roman"/>
          <w:sz w:val="24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 w14:paraId="0CDAA646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5</w:t>
      </w:r>
      <w:r>
        <w:rPr>
          <w:rFonts w:hint="eastAsia" w:ascii="Times New Roman" w:hAnsi="Times New Roman" w:eastAsia="仿宋_GB2312" w:cs="Times New Roman"/>
          <w:sz w:val="24"/>
        </w:rPr>
        <w:t>、</w:t>
      </w:r>
      <w:r>
        <w:rPr>
          <w:rFonts w:ascii="Times New Roman" w:hAnsi="Times New Roman" w:eastAsia="仿宋_GB2312" w:cs="Times New Roman"/>
          <w:sz w:val="24"/>
        </w:rPr>
        <w:t>专业认证、专业评估的研究。</w:t>
      </w:r>
    </w:p>
    <w:p w14:paraId="30D1F44A"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二、课程建设</w:t>
      </w:r>
    </w:p>
    <w:p w14:paraId="5E7B7850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1</w:t>
      </w:r>
      <w:r>
        <w:rPr>
          <w:rFonts w:hint="eastAsia" w:ascii="Times New Roman" w:hAnsi="Times New Roman" w:eastAsia="仿宋_GB2312" w:cs="Times New Roman"/>
          <w:sz w:val="24"/>
        </w:rPr>
        <w:t>、</w:t>
      </w:r>
      <w:r>
        <w:rPr>
          <w:rFonts w:ascii="Times New Roman" w:hAnsi="Times New Roman" w:eastAsia="仿宋_GB2312" w:cs="Times New Roman"/>
          <w:sz w:val="24"/>
        </w:rPr>
        <w:t>“课程思政”建设</w:t>
      </w:r>
      <w:r>
        <w:rPr>
          <w:rFonts w:hint="eastAsia" w:ascii="Times New Roman" w:hAnsi="Times New Roman" w:eastAsia="仿宋_GB2312" w:cs="Times New Roman"/>
          <w:sz w:val="24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 w14:paraId="1637BC2C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2</w:t>
      </w:r>
      <w:r>
        <w:rPr>
          <w:rFonts w:hint="eastAsia" w:ascii="Times New Roman" w:hAnsi="Times New Roman" w:eastAsia="仿宋_GB2312" w:cs="Times New Roman"/>
          <w:sz w:val="24"/>
        </w:rPr>
        <w:t>、</w:t>
      </w:r>
      <w:r>
        <w:rPr>
          <w:rFonts w:ascii="Times New Roman" w:hAnsi="Times New Roman" w:eastAsia="仿宋_GB2312" w:cs="Times New Roman"/>
          <w:sz w:val="24"/>
        </w:rPr>
        <w:t>适应新工科人才培养的课程体系</w:t>
      </w:r>
      <w:r>
        <w:rPr>
          <w:rFonts w:hint="eastAsia" w:ascii="Times New Roman" w:hAnsi="Times New Roman" w:eastAsia="仿宋_GB2312" w:cs="Times New Roman"/>
          <w:sz w:val="24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 w14:paraId="43B4A3F4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3</w:t>
      </w:r>
      <w:r>
        <w:rPr>
          <w:rFonts w:hint="eastAsia" w:ascii="Times New Roman" w:hAnsi="Times New Roman" w:eastAsia="仿宋_GB2312" w:cs="Times New Roman"/>
          <w:sz w:val="24"/>
        </w:rPr>
        <w:t>、</w:t>
      </w:r>
      <w:r>
        <w:rPr>
          <w:rFonts w:ascii="Times New Roman" w:hAnsi="Times New Roman" w:eastAsia="仿宋_GB2312" w:cs="Times New Roman"/>
          <w:sz w:val="24"/>
        </w:rPr>
        <w:t>专业核心课程的建设</w:t>
      </w:r>
      <w:r>
        <w:rPr>
          <w:rFonts w:hint="eastAsia" w:ascii="Times New Roman" w:hAnsi="Times New Roman" w:eastAsia="仿宋_GB2312" w:cs="Times New Roman"/>
          <w:sz w:val="24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 w14:paraId="6AB88160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4</w:t>
      </w:r>
      <w:r>
        <w:rPr>
          <w:rFonts w:hint="eastAsia" w:ascii="Times New Roman" w:hAnsi="Times New Roman" w:eastAsia="仿宋_GB2312" w:cs="Times New Roman"/>
          <w:sz w:val="24"/>
        </w:rPr>
        <w:t>、</w:t>
      </w:r>
      <w:r>
        <w:rPr>
          <w:rFonts w:ascii="Times New Roman" w:hAnsi="Times New Roman" w:eastAsia="仿宋_GB2312" w:cs="Times New Roman"/>
          <w:sz w:val="24"/>
        </w:rPr>
        <w:t>产教融合型课程研究。</w:t>
      </w:r>
    </w:p>
    <w:p w14:paraId="20D4AEAA"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hint="eastAsia" w:ascii="Times New Roman" w:hAnsi="Times New Roman" w:eastAsia="仿宋_GB2312" w:cs="Times New Roman"/>
          <w:b/>
          <w:bCs/>
          <w:sz w:val="24"/>
        </w:rPr>
        <w:t>三、数智赋能</w:t>
      </w:r>
    </w:p>
    <w:p w14:paraId="52651B7D">
      <w:pPr>
        <w:spacing w:line="460" w:lineRule="exact"/>
        <w:ind w:firstLine="480" w:firstLineChars="200"/>
        <w:rPr>
          <w:rFonts w:hint="eastAsia" w:ascii="Times New Roman" w:hAnsi="Times New Roman" w:eastAsia="仿宋_GB2312" w:cs="Times New Roman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</w:rPr>
        <w:t>1、数智助学模式研究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；</w:t>
      </w:r>
    </w:p>
    <w:p w14:paraId="2648B41A">
      <w:pPr>
        <w:spacing w:line="460" w:lineRule="exact"/>
        <w:ind w:firstLine="480" w:firstLineChars="200"/>
        <w:rPr>
          <w:rFonts w:hint="eastAsia" w:ascii="Times New Roman" w:hAnsi="Times New Roman" w:eastAsia="仿宋_GB2312" w:cs="Times New Roman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</w:rPr>
        <w:t>2、数智助教方法研究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；</w:t>
      </w:r>
    </w:p>
    <w:p w14:paraId="47E1AAEF">
      <w:pPr>
        <w:spacing w:line="460" w:lineRule="exact"/>
        <w:ind w:firstLine="480" w:firstLineChars="200"/>
        <w:rPr>
          <w:rFonts w:hint="eastAsia" w:ascii="Times New Roman" w:hAnsi="Times New Roman" w:eastAsia="仿宋_GB2312" w:cs="Times New Roman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</w:rPr>
        <w:t>3、数智助管模式研究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；</w:t>
      </w:r>
    </w:p>
    <w:p w14:paraId="0F55E490">
      <w:pPr>
        <w:spacing w:line="460" w:lineRule="exact"/>
        <w:ind w:firstLine="480" w:firstLineChars="200"/>
        <w:rPr>
          <w:rFonts w:hint="eastAsia" w:ascii="Times New Roman" w:hAnsi="Times New Roman" w:eastAsia="仿宋_GB2312" w:cs="Times New Roman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</w:rPr>
        <w:t>4、数智助评模式研究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；</w:t>
      </w:r>
    </w:p>
    <w:p w14:paraId="5E41FFE8">
      <w:pPr>
        <w:spacing w:line="460" w:lineRule="exact"/>
        <w:ind w:firstLine="480" w:firstLineChars="200"/>
        <w:rPr>
          <w:rFonts w:hint="eastAsia" w:ascii="Times New Roman" w:hAnsi="Times New Roman" w:eastAsia="仿宋_GB2312" w:cs="Times New Roman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</w:rPr>
        <w:t>5、教师数字素质培养模式研究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。</w:t>
      </w:r>
    </w:p>
    <w:p w14:paraId="32D1F1AD"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hint="eastAsia" w:ascii="Times New Roman" w:hAnsi="Times New Roman" w:eastAsia="仿宋_GB2312" w:cs="Times New Roman"/>
          <w:b/>
          <w:bCs/>
          <w:sz w:val="24"/>
        </w:rPr>
        <w:t>四</w:t>
      </w:r>
      <w:r>
        <w:rPr>
          <w:rFonts w:ascii="Times New Roman" w:hAnsi="Times New Roman" w:eastAsia="仿宋_GB2312" w:cs="Times New Roman"/>
          <w:b/>
          <w:bCs/>
          <w:sz w:val="24"/>
        </w:rPr>
        <w:t>、人才培养模式改革</w:t>
      </w:r>
    </w:p>
    <w:p w14:paraId="7DD02F99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1、</w:t>
      </w:r>
      <w:r>
        <w:rPr>
          <w:rFonts w:ascii="Times New Roman" w:hAnsi="Times New Roman" w:eastAsia="仿宋_GB2312" w:cs="Times New Roman"/>
          <w:sz w:val="24"/>
        </w:rPr>
        <w:t>“以学生为中心”理念在人才培养中的</w:t>
      </w:r>
      <w:r>
        <w:rPr>
          <w:rFonts w:hint="eastAsia" w:ascii="Times New Roman" w:hAnsi="Times New Roman" w:eastAsia="仿宋_GB2312" w:cs="Times New Roman"/>
          <w:sz w:val="24"/>
        </w:rPr>
        <w:t>应用研究</w:t>
      </w:r>
      <w:r>
        <w:rPr>
          <w:rFonts w:ascii="Times New Roman" w:hAnsi="Times New Roman" w:eastAsia="仿宋_GB2312" w:cs="Times New Roman"/>
          <w:sz w:val="24"/>
        </w:rPr>
        <w:t>；</w:t>
      </w:r>
    </w:p>
    <w:p w14:paraId="4F603F0C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2、</w:t>
      </w:r>
      <w:r>
        <w:rPr>
          <w:rFonts w:ascii="Times New Roman" w:hAnsi="Times New Roman" w:eastAsia="仿宋_GB2312" w:cs="Times New Roman"/>
          <w:sz w:val="24"/>
        </w:rPr>
        <w:t>体育、美育、劳动教育过程管理研究；</w:t>
      </w:r>
    </w:p>
    <w:p w14:paraId="3F9EDA69">
      <w:pPr>
        <w:spacing w:line="460" w:lineRule="exact"/>
        <w:ind w:firstLine="480" w:firstLineChars="200"/>
        <w:rPr>
          <w:rFonts w:hint="eastAsia" w:ascii="Times New Roman" w:hAnsi="Times New Roman" w:eastAsia="仿宋_GB2312" w:cs="Times New Roman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</w:rPr>
        <w:t>3、</w:t>
      </w:r>
      <w:r>
        <w:rPr>
          <w:rFonts w:ascii="Times New Roman" w:hAnsi="Times New Roman" w:eastAsia="仿宋_GB2312" w:cs="Times New Roman"/>
          <w:sz w:val="24"/>
        </w:rPr>
        <w:t>德智体美劳全面发展的教育体系的构建研究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。</w:t>
      </w:r>
    </w:p>
    <w:p w14:paraId="65BF6FFE"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hint="eastAsia" w:ascii="Times New Roman" w:hAnsi="Times New Roman" w:eastAsia="仿宋_GB2312" w:cs="Times New Roman"/>
          <w:b/>
          <w:bCs/>
          <w:sz w:val="24"/>
        </w:rPr>
        <w:t>五</w:t>
      </w:r>
      <w:r>
        <w:rPr>
          <w:rFonts w:ascii="Times New Roman" w:hAnsi="Times New Roman" w:eastAsia="仿宋_GB2312" w:cs="Times New Roman"/>
          <w:b/>
          <w:bCs/>
          <w:sz w:val="24"/>
        </w:rPr>
        <w:t>、教学方法改革</w:t>
      </w:r>
    </w:p>
    <w:p w14:paraId="71B03060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1、</w:t>
      </w:r>
      <w:r>
        <w:rPr>
          <w:rFonts w:ascii="Times New Roman" w:hAnsi="Times New Roman" w:eastAsia="仿宋_GB2312" w:cs="Times New Roman"/>
          <w:sz w:val="24"/>
        </w:rPr>
        <w:t>基于“两性一度”的课程考核与评价体系</w:t>
      </w:r>
      <w:r>
        <w:rPr>
          <w:rFonts w:hint="eastAsia" w:ascii="Times New Roman" w:hAnsi="Times New Roman" w:eastAsia="仿宋_GB2312" w:cs="Times New Roman"/>
          <w:sz w:val="24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 w14:paraId="4FCD25C4">
      <w:pPr>
        <w:spacing w:line="460" w:lineRule="exact"/>
        <w:ind w:firstLine="480" w:firstLineChars="200"/>
        <w:rPr>
          <w:rFonts w:hint="eastAsia" w:ascii="Times New Roman" w:hAnsi="Times New Roman" w:eastAsia="仿宋_GB2312" w:cs="Times New Roman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</w:rPr>
        <w:t>2、</w:t>
      </w:r>
      <w:r>
        <w:rPr>
          <w:rFonts w:ascii="Times New Roman" w:hAnsi="Times New Roman" w:eastAsia="仿宋_GB2312" w:cs="Times New Roman"/>
          <w:sz w:val="24"/>
        </w:rPr>
        <w:t>互联网、大数据信息技术与教育教学深度融合的研究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。</w:t>
      </w:r>
    </w:p>
    <w:p w14:paraId="2055F390"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hint="eastAsia" w:ascii="Times New Roman" w:hAnsi="Times New Roman" w:eastAsia="仿宋_GB2312" w:cs="Times New Roman"/>
          <w:b/>
          <w:bCs/>
          <w:sz w:val="24"/>
        </w:rPr>
        <w:t>六</w:t>
      </w:r>
      <w:r>
        <w:rPr>
          <w:rFonts w:ascii="Times New Roman" w:hAnsi="Times New Roman" w:eastAsia="仿宋_GB2312" w:cs="Times New Roman"/>
          <w:b/>
          <w:bCs/>
          <w:sz w:val="24"/>
        </w:rPr>
        <w:t>、实践教学改革</w:t>
      </w:r>
    </w:p>
    <w:p w14:paraId="332A59AF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1、分层次、多载体的</w:t>
      </w:r>
      <w:r>
        <w:rPr>
          <w:rFonts w:ascii="Times New Roman" w:hAnsi="Times New Roman" w:eastAsia="仿宋_GB2312" w:cs="Times New Roman"/>
          <w:sz w:val="24"/>
        </w:rPr>
        <w:t>实践教学</w:t>
      </w:r>
      <w:r>
        <w:rPr>
          <w:rFonts w:hint="eastAsia" w:ascii="Times New Roman" w:hAnsi="Times New Roman" w:eastAsia="仿宋_GB2312" w:cs="Times New Roman"/>
          <w:sz w:val="24"/>
        </w:rPr>
        <w:t>体系</w:t>
      </w:r>
      <w:r>
        <w:rPr>
          <w:rFonts w:ascii="Times New Roman" w:hAnsi="Times New Roman" w:eastAsia="仿宋_GB2312" w:cs="Times New Roman"/>
          <w:sz w:val="24"/>
        </w:rPr>
        <w:t>研究；</w:t>
      </w:r>
    </w:p>
    <w:p w14:paraId="71D19535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2、</w:t>
      </w:r>
      <w:r>
        <w:rPr>
          <w:rFonts w:ascii="Times New Roman" w:hAnsi="Times New Roman" w:eastAsia="仿宋_GB2312" w:cs="Times New Roman"/>
          <w:sz w:val="24"/>
        </w:rPr>
        <w:t>实践教学共享平台建设研究；</w:t>
      </w:r>
    </w:p>
    <w:p w14:paraId="1294BD2E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3、项目载体的综合性实践教学研究。</w:t>
      </w:r>
    </w:p>
    <w:p w14:paraId="0E5328C9"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hint="eastAsia" w:ascii="Times New Roman" w:hAnsi="Times New Roman" w:eastAsia="仿宋_GB2312" w:cs="Times New Roman"/>
          <w:b/>
          <w:bCs/>
          <w:sz w:val="24"/>
        </w:rPr>
        <w:t>七</w:t>
      </w:r>
      <w:r>
        <w:rPr>
          <w:rFonts w:ascii="Times New Roman" w:hAnsi="Times New Roman" w:eastAsia="仿宋_GB2312" w:cs="Times New Roman"/>
          <w:b/>
          <w:bCs/>
          <w:sz w:val="24"/>
        </w:rPr>
        <w:t>、创新创业教育改革</w:t>
      </w:r>
    </w:p>
    <w:p w14:paraId="65685785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1、</w:t>
      </w:r>
      <w:r>
        <w:rPr>
          <w:rFonts w:ascii="Times New Roman" w:hAnsi="Times New Roman" w:eastAsia="仿宋_GB2312" w:cs="Times New Roman"/>
          <w:sz w:val="24"/>
        </w:rPr>
        <w:t>创新创业教育贯穿人才培养全过程研究；</w:t>
      </w:r>
    </w:p>
    <w:p w14:paraId="7B852E68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2、</w:t>
      </w:r>
      <w:r>
        <w:rPr>
          <w:rFonts w:ascii="Times New Roman" w:hAnsi="Times New Roman" w:eastAsia="仿宋_GB2312" w:cs="Times New Roman"/>
          <w:sz w:val="24"/>
        </w:rPr>
        <w:t>创新创业教育课程体系研究；</w:t>
      </w:r>
    </w:p>
    <w:p w14:paraId="3554169A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3、</w:t>
      </w:r>
      <w:r>
        <w:rPr>
          <w:rFonts w:ascii="Times New Roman" w:hAnsi="Times New Roman" w:eastAsia="仿宋_GB2312" w:cs="Times New Roman"/>
          <w:sz w:val="24"/>
        </w:rPr>
        <w:t>创新创业教育融入专业教育实践研究；</w:t>
      </w:r>
    </w:p>
    <w:p w14:paraId="3C021E4D">
      <w:pPr>
        <w:spacing w:line="460" w:lineRule="exact"/>
        <w:ind w:firstLine="480" w:firstLineChars="200"/>
        <w:rPr>
          <w:rFonts w:hint="eastAsia" w:ascii="Times New Roman" w:hAnsi="Times New Roman" w:eastAsia="仿宋_GB2312" w:cs="Times New Roman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</w:rPr>
        <w:t>4、</w:t>
      </w:r>
      <w:r>
        <w:rPr>
          <w:rFonts w:ascii="Times New Roman" w:hAnsi="Times New Roman" w:eastAsia="仿宋_GB2312" w:cs="Times New Roman"/>
          <w:sz w:val="24"/>
        </w:rPr>
        <w:t>大学生学科竞赛对高素质创新人才培养的作用研究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；</w:t>
      </w:r>
    </w:p>
    <w:p w14:paraId="5CFA6CD4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5、思创融合、专创融合、产创融合的创新创业教育研究。</w:t>
      </w:r>
      <w:r>
        <w:rPr>
          <w:rFonts w:ascii="Times New Roman" w:hAnsi="Times New Roman" w:eastAsia="仿宋_GB2312" w:cs="Times New Roman"/>
          <w:sz w:val="24"/>
        </w:rPr>
        <w:t xml:space="preserve"> </w:t>
      </w:r>
    </w:p>
    <w:p w14:paraId="2BC235D6"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八、教师教学发展研究</w:t>
      </w:r>
    </w:p>
    <w:p w14:paraId="351E4CC5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1、</w:t>
      </w:r>
      <w:r>
        <w:rPr>
          <w:rFonts w:ascii="Times New Roman" w:hAnsi="Times New Roman" w:eastAsia="仿宋_GB2312" w:cs="Times New Roman"/>
          <w:sz w:val="24"/>
        </w:rPr>
        <w:t>师德师风建设研究；</w:t>
      </w:r>
    </w:p>
    <w:p w14:paraId="341A9D45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2、</w:t>
      </w:r>
      <w:r>
        <w:rPr>
          <w:rFonts w:ascii="Times New Roman" w:hAnsi="Times New Roman" w:eastAsia="仿宋_GB2312" w:cs="Times New Roman"/>
          <w:sz w:val="24"/>
        </w:rPr>
        <w:t>教师发展策略研究；</w:t>
      </w:r>
    </w:p>
    <w:p w14:paraId="37F1F72A"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3、</w:t>
      </w:r>
      <w:r>
        <w:rPr>
          <w:rFonts w:ascii="Times New Roman" w:hAnsi="Times New Roman" w:eastAsia="仿宋_GB2312" w:cs="Times New Roman"/>
          <w:sz w:val="24"/>
        </w:rPr>
        <w:t>特色校本教师发展培训</w:t>
      </w:r>
      <w:r>
        <w:rPr>
          <w:rFonts w:hint="eastAsia" w:ascii="Times New Roman" w:hAnsi="Times New Roman" w:eastAsia="仿宋_GB2312" w:cs="Times New Roman"/>
          <w:sz w:val="24"/>
        </w:rPr>
        <w:t>体系研究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。</w:t>
      </w:r>
      <w:bookmarkStart w:id="0" w:name="_GoBack"/>
      <w:bookmarkEnd w:id="0"/>
      <w:r>
        <w:rPr>
          <w:rFonts w:ascii="Times New Roman" w:hAnsi="Times New Roman" w:eastAsia="仿宋_GB2312" w:cs="Times New Roman"/>
          <w:sz w:val="24"/>
        </w:rPr>
        <w:t xml:space="preserve"> </w:t>
      </w:r>
    </w:p>
    <w:p w14:paraId="18AE2FB8"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九、</w:t>
      </w:r>
      <w:r>
        <w:rPr>
          <w:rFonts w:ascii="Times New Roman" w:hAnsi="Times New Roman" w:eastAsia="仿宋_GB2312" w:cs="Times New Roman"/>
          <w:sz w:val="24"/>
        </w:rPr>
        <w:t>未列入指南，但具有鲜明特色，较高研究价值，能在一定范围内进行改革实践，有助于提高人才培养质量的研究。</w:t>
      </w:r>
    </w:p>
    <w:p w14:paraId="6DCAECC3">
      <w:pPr>
        <w:spacing w:line="460" w:lineRule="exact"/>
        <w:rPr>
          <w:rFonts w:ascii="Times New Roman" w:hAnsi="Times New Roman" w:eastAsia="仿宋_GB2312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iMWEyN2U4MmY1Y2ZjZDRjNmQ0NGJkYjZkNjdhY2QifQ=="/>
  </w:docVars>
  <w:rsids>
    <w:rsidRoot w:val="401A255F"/>
    <w:rsid w:val="000432C8"/>
    <w:rsid w:val="000A0D22"/>
    <w:rsid w:val="000B401B"/>
    <w:rsid w:val="000C32BA"/>
    <w:rsid w:val="00120F94"/>
    <w:rsid w:val="0016211A"/>
    <w:rsid w:val="00164615"/>
    <w:rsid w:val="001F1465"/>
    <w:rsid w:val="00210102"/>
    <w:rsid w:val="002359EE"/>
    <w:rsid w:val="0028106C"/>
    <w:rsid w:val="002B12A7"/>
    <w:rsid w:val="002B79FE"/>
    <w:rsid w:val="002C0F72"/>
    <w:rsid w:val="002F4852"/>
    <w:rsid w:val="00306132"/>
    <w:rsid w:val="00356C54"/>
    <w:rsid w:val="003B3B68"/>
    <w:rsid w:val="003C27D2"/>
    <w:rsid w:val="003F3DA5"/>
    <w:rsid w:val="004962FA"/>
    <w:rsid w:val="005008F2"/>
    <w:rsid w:val="00566C1B"/>
    <w:rsid w:val="00615E75"/>
    <w:rsid w:val="006A5BB4"/>
    <w:rsid w:val="00724C62"/>
    <w:rsid w:val="0073402C"/>
    <w:rsid w:val="00777D8E"/>
    <w:rsid w:val="007C597F"/>
    <w:rsid w:val="007E0CE3"/>
    <w:rsid w:val="007E479F"/>
    <w:rsid w:val="0088078E"/>
    <w:rsid w:val="008B58AA"/>
    <w:rsid w:val="008B7040"/>
    <w:rsid w:val="008C053C"/>
    <w:rsid w:val="00935F58"/>
    <w:rsid w:val="009A69DB"/>
    <w:rsid w:val="00A225E3"/>
    <w:rsid w:val="00A35ABD"/>
    <w:rsid w:val="00A40035"/>
    <w:rsid w:val="00A615F8"/>
    <w:rsid w:val="00A857C9"/>
    <w:rsid w:val="00AC4A4B"/>
    <w:rsid w:val="00B57BAA"/>
    <w:rsid w:val="00B67184"/>
    <w:rsid w:val="00B90A9B"/>
    <w:rsid w:val="00BB0AAD"/>
    <w:rsid w:val="00C57B36"/>
    <w:rsid w:val="00CE3086"/>
    <w:rsid w:val="00D46F12"/>
    <w:rsid w:val="00D54EC4"/>
    <w:rsid w:val="00DF06C4"/>
    <w:rsid w:val="00E21C32"/>
    <w:rsid w:val="00F33BC9"/>
    <w:rsid w:val="00FA0E86"/>
    <w:rsid w:val="00FB7082"/>
    <w:rsid w:val="00FC3A65"/>
    <w:rsid w:val="00FC3FA3"/>
    <w:rsid w:val="00FE7A7F"/>
    <w:rsid w:val="010D0A34"/>
    <w:rsid w:val="01FF3D5E"/>
    <w:rsid w:val="058648B9"/>
    <w:rsid w:val="07B274F4"/>
    <w:rsid w:val="084E6940"/>
    <w:rsid w:val="09E6390A"/>
    <w:rsid w:val="0B9861A1"/>
    <w:rsid w:val="0B9E2C1D"/>
    <w:rsid w:val="0C6D01DD"/>
    <w:rsid w:val="0C8740D0"/>
    <w:rsid w:val="0CCB561F"/>
    <w:rsid w:val="0D9D5894"/>
    <w:rsid w:val="0FCA7BBA"/>
    <w:rsid w:val="11774306"/>
    <w:rsid w:val="12796BB2"/>
    <w:rsid w:val="129136D8"/>
    <w:rsid w:val="13BC783E"/>
    <w:rsid w:val="161D29D0"/>
    <w:rsid w:val="169F4087"/>
    <w:rsid w:val="16BA10D8"/>
    <w:rsid w:val="17B35053"/>
    <w:rsid w:val="1BAB0400"/>
    <w:rsid w:val="1BF74482"/>
    <w:rsid w:val="1D10624A"/>
    <w:rsid w:val="1F0B7116"/>
    <w:rsid w:val="20461AAE"/>
    <w:rsid w:val="20E373A2"/>
    <w:rsid w:val="2321433E"/>
    <w:rsid w:val="26BC3587"/>
    <w:rsid w:val="26E06DFB"/>
    <w:rsid w:val="2AAC1726"/>
    <w:rsid w:val="2CD3651F"/>
    <w:rsid w:val="3363731F"/>
    <w:rsid w:val="33983CEF"/>
    <w:rsid w:val="34745B3A"/>
    <w:rsid w:val="34A04ECC"/>
    <w:rsid w:val="357A75FA"/>
    <w:rsid w:val="37E123F5"/>
    <w:rsid w:val="38336C6C"/>
    <w:rsid w:val="3864250C"/>
    <w:rsid w:val="39CB3F8E"/>
    <w:rsid w:val="3B621BB3"/>
    <w:rsid w:val="3BD07399"/>
    <w:rsid w:val="3E06163A"/>
    <w:rsid w:val="3E0C56DC"/>
    <w:rsid w:val="3E0D72F9"/>
    <w:rsid w:val="3F31678A"/>
    <w:rsid w:val="401A255F"/>
    <w:rsid w:val="40440617"/>
    <w:rsid w:val="4170316A"/>
    <w:rsid w:val="42C50575"/>
    <w:rsid w:val="44170C85"/>
    <w:rsid w:val="447259BA"/>
    <w:rsid w:val="44EF595C"/>
    <w:rsid w:val="45120EAB"/>
    <w:rsid w:val="462E37F4"/>
    <w:rsid w:val="47902EB5"/>
    <w:rsid w:val="49AC3423"/>
    <w:rsid w:val="4B025C0A"/>
    <w:rsid w:val="4B3E7D56"/>
    <w:rsid w:val="4D4A4BE6"/>
    <w:rsid w:val="4D6420F9"/>
    <w:rsid w:val="4DE92215"/>
    <w:rsid w:val="4EE50E1D"/>
    <w:rsid w:val="52F32EAC"/>
    <w:rsid w:val="53700C87"/>
    <w:rsid w:val="53B01DA2"/>
    <w:rsid w:val="54E07557"/>
    <w:rsid w:val="55FF3A9A"/>
    <w:rsid w:val="57062CF0"/>
    <w:rsid w:val="583C3F2E"/>
    <w:rsid w:val="599D5403"/>
    <w:rsid w:val="5E5F0153"/>
    <w:rsid w:val="5E7245A7"/>
    <w:rsid w:val="5F4C13B2"/>
    <w:rsid w:val="60D43374"/>
    <w:rsid w:val="62184085"/>
    <w:rsid w:val="6498236D"/>
    <w:rsid w:val="6AC61BCD"/>
    <w:rsid w:val="6D2A76AF"/>
    <w:rsid w:val="6D4C20E2"/>
    <w:rsid w:val="6D535020"/>
    <w:rsid w:val="6F3D4F41"/>
    <w:rsid w:val="70135889"/>
    <w:rsid w:val="73B31819"/>
    <w:rsid w:val="75AC5EF3"/>
    <w:rsid w:val="7662173F"/>
    <w:rsid w:val="77704C1F"/>
    <w:rsid w:val="7EB9007A"/>
    <w:rsid w:val="7FB3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30"/>
    </w:pPr>
    <w:rPr>
      <w:rFonts w:ascii="黑体" w:hAnsi="华文仿宋" w:eastAsia="黑体"/>
      <w:sz w:val="32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2</Pages>
  <Words>696</Words>
  <Characters>699</Characters>
  <Lines>5</Lines>
  <Paragraphs>1</Paragraphs>
  <TotalTime>7</TotalTime>
  <ScaleCrop>false</ScaleCrop>
  <LinksUpToDate>false</LinksUpToDate>
  <CharactersWithSpaces>701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2024-11-08T07:03:00Z</dcterms:created>
  <dc:creator>胡婕</dc:creator>
  <cp:lastModifiedBy>♔吕♔</cp:lastModifiedBy>
  <cp:lastPrinted>2021-07-05T00:41:00Z</cp:lastPrinted>
  <dcterms:modified xsi:type="dcterms:W3CDTF">2024-11-08T08:03:37Z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A345FD3130CE444EBF70AEE451276098_13</vt:lpwstr>
  </property>
</Properties>
</file>