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4137870">
      <w:pPr>
        <w:spacing w:line="593" w:lineRule="exact"/>
      </w:pPr>
      <w:r>
        <w:rPr>
          <w:position w:val="-11"/>
        </w:rPr>
        <w:drawing>
          <wp:inline distT="0" distB="0" distL="0" distR="0">
            <wp:extent cx="1489075" cy="376555"/>
            <wp:effectExtent l="0" t="0" r="0" b="0"/>
            <wp:docPr id="2" name="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 2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489592" cy="3769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0415B6">
      <w:pPr>
        <w:spacing w:line="343" w:lineRule="auto"/>
        <w:rPr>
          <w:rFonts w:ascii="Arial"/>
          <w:sz w:val="21"/>
        </w:rPr>
      </w:pPr>
    </w:p>
    <w:p w14:paraId="04338A63">
      <w:pPr>
        <w:spacing w:line="343" w:lineRule="auto"/>
        <w:rPr>
          <w:rFonts w:ascii="Arial"/>
          <w:sz w:val="21"/>
        </w:rPr>
      </w:pPr>
    </w:p>
    <w:p w14:paraId="4059D247">
      <w:pPr>
        <w:spacing w:before="137" w:line="222" w:lineRule="auto"/>
        <w:jc w:val="right"/>
        <w:outlineLvl w:val="0"/>
        <w:rPr>
          <w:rFonts w:ascii="宋体" w:hAnsi="宋体" w:eastAsia="宋体" w:cs="宋体"/>
          <w:sz w:val="42"/>
          <w:szCs w:val="42"/>
        </w:rPr>
      </w:pPr>
      <w:r>
        <w:rPr>
          <w:rFonts w:ascii="宋体" w:hAnsi="宋体" w:eastAsia="宋体" w:cs="宋体"/>
          <w:b/>
          <w:bCs/>
          <w:spacing w:val="17"/>
          <w:sz w:val="42"/>
          <w:szCs w:val="42"/>
        </w:rPr>
        <w:t>红绿蓝</w:t>
      </w:r>
      <w:r>
        <w:rPr>
          <w:rFonts w:ascii="宋体" w:hAnsi="宋体" w:eastAsia="宋体" w:cs="宋体"/>
          <w:b/>
          <w:bCs/>
          <w:sz w:val="42"/>
          <w:szCs w:val="42"/>
        </w:rPr>
        <w:t>AI</w:t>
      </w:r>
      <w:r>
        <w:rPr>
          <w:rFonts w:ascii="宋体" w:hAnsi="宋体" w:eastAsia="宋体" w:cs="宋体"/>
          <w:b/>
          <w:bCs/>
          <w:spacing w:val="17"/>
          <w:sz w:val="42"/>
          <w:szCs w:val="42"/>
        </w:rPr>
        <w:t>论文质量评估系统操作流程及功能说明</w:t>
      </w:r>
    </w:p>
    <w:p w14:paraId="5337B556">
      <w:pPr>
        <w:spacing w:line="241" w:lineRule="auto"/>
        <w:rPr>
          <w:rFonts w:ascii="Arial"/>
          <w:sz w:val="21"/>
        </w:rPr>
      </w:pPr>
    </w:p>
    <w:p w14:paraId="2EE2641C">
      <w:pPr>
        <w:spacing w:line="241" w:lineRule="auto"/>
        <w:rPr>
          <w:rFonts w:ascii="Arial"/>
          <w:sz w:val="21"/>
        </w:rPr>
      </w:pPr>
    </w:p>
    <w:p w14:paraId="031586EB">
      <w:pPr>
        <w:spacing w:line="241" w:lineRule="auto"/>
        <w:rPr>
          <w:rFonts w:ascii="Arial"/>
          <w:sz w:val="21"/>
        </w:rPr>
      </w:pPr>
    </w:p>
    <w:p w14:paraId="6B6D74B9">
      <w:pPr>
        <w:spacing w:line="242" w:lineRule="auto"/>
        <w:rPr>
          <w:rFonts w:ascii="Arial"/>
          <w:sz w:val="21"/>
        </w:rPr>
      </w:pPr>
    </w:p>
    <w:p w14:paraId="04E79120">
      <w:pPr>
        <w:pStyle w:val="2"/>
        <w:spacing w:before="91" w:line="335" w:lineRule="auto"/>
        <w:ind w:left="1556" w:right="1005" w:firstLine="523"/>
        <w:jc w:val="both"/>
      </w:pPr>
      <w:r>
        <w:t>AI</w:t>
      </w:r>
      <w:r>
        <w:rPr>
          <w:spacing w:val="2"/>
        </w:rPr>
        <w:t xml:space="preserve"> 毕业论文质量评估系统参照国家教学质量标</w:t>
      </w:r>
      <w:r>
        <w:rPr>
          <w:spacing w:val="1"/>
        </w:rPr>
        <w:t>准和省评估院的</w:t>
      </w:r>
      <w:r>
        <w:rPr>
          <w:spacing w:val="-4"/>
        </w:rPr>
        <w:t>抽检标准，利用人工智能、大模型等创新技术从论文选题、摘要</w:t>
      </w:r>
      <w:r>
        <w:rPr>
          <w:spacing w:val="-5"/>
        </w:rPr>
        <w:t>、字</w:t>
      </w:r>
      <w:r>
        <w:rPr>
          <w:spacing w:val="-4"/>
        </w:rPr>
        <w:t>词用法、写作水平、内容质量、学术规范、文献综述、创新性等</w:t>
      </w:r>
      <w:r>
        <w:rPr>
          <w:spacing w:val="-5"/>
        </w:rPr>
        <w:t>多个</w:t>
      </w:r>
      <w:r>
        <w:rPr>
          <w:spacing w:val="-4"/>
        </w:rPr>
        <w:t>维度进行全面评估，通过训练大量文本数据深入评估论文选题、</w:t>
      </w:r>
      <w:r>
        <w:rPr>
          <w:spacing w:val="-5"/>
        </w:rPr>
        <w:t>挖掘</w:t>
      </w:r>
      <w:r>
        <w:rPr>
          <w:spacing w:val="-6"/>
        </w:rPr>
        <w:t>论文创新点、评估论文逻辑性等， 自动生成论文质量评估报告。</w:t>
      </w:r>
    </w:p>
    <w:p w14:paraId="724BBB42">
      <w:pPr>
        <w:spacing w:before="15" w:line="219" w:lineRule="auto"/>
        <w:ind w:left="2152"/>
        <w:outlineLvl w:val="0"/>
        <w:rPr>
          <w:rFonts w:ascii="宋体" w:hAnsi="宋体" w:eastAsia="宋体" w:cs="宋体"/>
          <w:sz w:val="30"/>
          <w:szCs w:val="30"/>
        </w:rPr>
      </w:pPr>
      <w:r>
        <w:rPr>
          <w:rFonts w:ascii="宋体" w:hAnsi="宋体" w:eastAsia="宋体" w:cs="宋体"/>
          <w:b/>
          <w:bCs/>
          <w:spacing w:val="-8"/>
          <w:sz w:val="30"/>
          <w:szCs w:val="30"/>
        </w:rPr>
        <w:t>一、适用对象及说明</w:t>
      </w:r>
    </w:p>
    <w:p w14:paraId="615FC108">
      <w:pPr>
        <w:pStyle w:val="2"/>
        <w:spacing w:before="278" w:line="222" w:lineRule="auto"/>
        <w:ind w:left="2116"/>
      </w:pPr>
      <w:r>
        <w:rPr>
          <w:spacing w:val="-3"/>
        </w:rPr>
        <w:t>（一）全日制本科毕业生及指导教师。</w:t>
      </w:r>
    </w:p>
    <w:p w14:paraId="35121824">
      <w:pPr>
        <w:pStyle w:val="2"/>
        <w:spacing w:before="204" w:line="251" w:lineRule="auto"/>
        <w:ind w:left="1564" w:right="1009" w:firstLine="552"/>
      </w:pPr>
      <w:r>
        <w:rPr>
          <w:spacing w:val="-5"/>
        </w:rPr>
        <w:t>（二）系统支持质量评估报告、全文批注报告检测（暂不支持日文）、AIGC检测报告。</w:t>
      </w:r>
    </w:p>
    <w:p w14:paraId="0DFD9552">
      <w:pPr>
        <w:pStyle w:val="2"/>
        <w:spacing w:before="247" w:line="217" w:lineRule="auto"/>
        <w:ind w:left="2116"/>
      </w:pPr>
      <w:r>
        <w:rPr>
          <w:spacing w:val="-5"/>
        </w:rPr>
        <w:t xml:space="preserve">（三）仅支持 </w:t>
      </w:r>
      <w:r>
        <w:rPr>
          <w:rFonts w:hint="eastAsia"/>
          <w:spacing w:val="-5"/>
          <w:lang w:val="en-US" w:eastAsia="zh-CN"/>
        </w:rPr>
        <w:t>word</w:t>
      </w:r>
      <w:r>
        <w:rPr>
          <w:spacing w:val="-5"/>
        </w:rPr>
        <w:t xml:space="preserve"> 格式论文，单文件不超过</w:t>
      </w:r>
      <w:r>
        <w:rPr>
          <w:spacing w:val="-48"/>
        </w:rPr>
        <w:t xml:space="preserve"> </w:t>
      </w:r>
      <w:r>
        <w:rPr>
          <w:spacing w:val="-5"/>
        </w:rPr>
        <w:t>20MB/10</w:t>
      </w:r>
      <w:r>
        <w:rPr>
          <w:spacing w:val="-34"/>
        </w:rPr>
        <w:t xml:space="preserve"> </w:t>
      </w:r>
      <w:r>
        <w:rPr>
          <w:spacing w:val="-5"/>
        </w:rPr>
        <w:t>万字。</w:t>
      </w:r>
    </w:p>
    <w:p w14:paraId="3FF78667">
      <w:pPr>
        <w:spacing w:before="184" w:line="219" w:lineRule="auto"/>
        <w:ind w:left="2152"/>
        <w:outlineLvl w:val="0"/>
        <w:rPr>
          <w:rFonts w:ascii="宋体" w:hAnsi="宋体" w:eastAsia="宋体" w:cs="宋体"/>
          <w:sz w:val="30"/>
          <w:szCs w:val="30"/>
        </w:rPr>
      </w:pPr>
      <w:r>
        <w:rPr>
          <w:rFonts w:ascii="宋体" w:hAnsi="宋体" w:eastAsia="宋体" w:cs="宋体"/>
          <w:b/>
          <w:bCs/>
          <w:spacing w:val="-10"/>
          <w:sz w:val="30"/>
          <w:szCs w:val="30"/>
        </w:rPr>
        <w:t>二、操作流程</w:t>
      </w:r>
    </w:p>
    <w:p w14:paraId="3D968AF6">
      <w:pPr>
        <w:pStyle w:val="2"/>
        <w:spacing w:before="257" w:line="314" w:lineRule="auto"/>
        <w:ind w:left="1540" w:right="991" w:firstLine="580"/>
      </w:pPr>
      <w:r>
        <w:rPr>
          <w:spacing w:val="-1"/>
        </w:rPr>
        <w:t>（一）</w:t>
      </w:r>
      <w:r>
        <w:rPr>
          <w:spacing w:val="-70"/>
        </w:rPr>
        <w:t xml:space="preserve"> </w:t>
      </w:r>
      <w:r>
        <w:rPr>
          <w:spacing w:val="-1"/>
        </w:rPr>
        <w:t>师生登录平台（</w:t>
      </w:r>
      <w:r>
        <w:fldChar w:fldCharType="begin"/>
      </w:r>
      <w:r>
        <w:instrText xml:space="preserve"> HYPERLINK "http://c.qingyanedu.cn:38080/paper-web/home" </w:instrText>
      </w:r>
      <w:r>
        <w:fldChar w:fldCharType="separate"/>
      </w:r>
      <w:r>
        <w:rPr>
          <w:spacing w:val="-1"/>
        </w:rPr>
        <w:t>http://c.qingyanedu.cn:</w:t>
      </w:r>
      <w:r>
        <w:rPr>
          <w:rFonts w:hint="eastAsia"/>
          <w:spacing w:val="-1"/>
        </w:rPr>
        <w:t>8998</w:t>
      </w:r>
      <w:r>
        <w:rPr>
          <w:spacing w:val="-1"/>
        </w:rPr>
        <w:t>/paper-</w:t>
      </w:r>
      <w:r>
        <w:rPr>
          <w:spacing w:val="-1"/>
        </w:rPr>
        <w:fldChar w:fldCharType="end"/>
      </w:r>
      <w:r>
        <w:t xml:space="preserve"> </w:t>
      </w:r>
      <w:r>
        <w:fldChar w:fldCharType="begin"/>
      </w:r>
      <w:r>
        <w:instrText xml:space="preserve"> HYPERLINK "http://c.qingyanedu.cn:38080/paper-web/home" </w:instrText>
      </w:r>
      <w:r>
        <w:fldChar w:fldCharType="separate"/>
      </w:r>
      <w:r>
        <w:rPr>
          <w:spacing w:val="-2"/>
        </w:rPr>
        <w:t>web/home</w:t>
      </w:r>
      <w:r>
        <w:rPr>
          <w:spacing w:val="-2"/>
        </w:rPr>
        <w:fldChar w:fldCharType="end"/>
      </w:r>
      <w:r>
        <w:rPr>
          <w:spacing w:val="21"/>
        </w:rPr>
        <w:t>），</w:t>
      </w:r>
      <w:r>
        <w:rPr>
          <w:spacing w:val="-2"/>
        </w:rPr>
        <w:t>点击“立即  登录</w:t>
      </w:r>
      <w:r>
        <w:rPr>
          <w:spacing w:val="-101"/>
        </w:rPr>
        <w:t xml:space="preserve"> </w:t>
      </w:r>
      <w:r>
        <w:rPr>
          <w:spacing w:val="-2"/>
        </w:rPr>
        <w:t>”—“校园用户登</w:t>
      </w:r>
      <w:r>
        <w:rPr>
          <w:spacing w:val="-3"/>
        </w:rPr>
        <w:t>录</w:t>
      </w:r>
      <w:r>
        <w:rPr>
          <w:spacing w:val="-98"/>
        </w:rPr>
        <w:t xml:space="preserve"> </w:t>
      </w:r>
      <w:r>
        <w:rPr>
          <w:spacing w:val="-3"/>
        </w:rPr>
        <w:t>”—选择“</w:t>
      </w:r>
      <w:r>
        <w:rPr>
          <w:rFonts w:hint="eastAsia"/>
          <w:spacing w:val="-3"/>
          <w:lang w:val="en-US" w:eastAsia="zh-CN"/>
        </w:rPr>
        <w:t>三江学院</w:t>
      </w:r>
      <w:r>
        <w:rPr>
          <w:spacing w:val="-1"/>
        </w:rPr>
        <w:t>”—输入账号和密码— 选择“本科毕业论文</w:t>
      </w:r>
      <w:r>
        <w:rPr>
          <w:spacing w:val="-100"/>
        </w:rPr>
        <w:t xml:space="preserve"> </w:t>
      </w:r>
      <w:r>
        <w:rPr>
          <w:spacing w:val="-1"/>
        </w:rPr>
        <w:t>”或“质</w:t>
      </w:r>
      <w:r>
        <w:rPr>
          <w:spacing w:val="-2"/>
        </w:rPr>
        <w:t>量评估报</w:t>
      </w:r>
      <w:r>
        <w:rPr>
          <w:spacing w:val="-4"/>
        </w:rPr>
        <w:t>告</w:t>
      </w:r>
      <w:r>
        <w:rPr>
          <w:spacing w:val="-99"/>
        </w:rPr>
        <w:t xml:space="preserve"> </w:t>
      </w:r>
      <w:r>
        <w:rPr>
          <w:spacing w:val="-4"/>
        </w:rPr>
        <w:t>”—上传论文，开始评估。</w:t>
      </w:r>
    </w:p>
    <w:p w14:paraId="44700ED8">
      <w:pPr>
        <w:pStyle w:val="2"/>
        <w:spacing w:before="196" w:line="289" w:lineRule="auto"/>
        <w:ind w:left="1570" w:right="1353" w:firstLine="555"/>
        <w:rPr>
          <w:rFonts w:hint="eastAsia"/>
          <w:spacing w:val="-4"/>
        </w:rPr>
      </w:pPr>
      <w:r>
        <w:rPr>
          <w:spacing w:val="-4"/>
        </w:rPr>
        <w:t>（二）</w:t>
      </w:r>
      <w:r>
        <w:rPr>
          <w:rFonts w:hint="eastAsia"/>
          <w:spacing w:val="-4"/>
          <w:lang w:val="en-US" w:eastAsia="zh-CN"/>
        </w:rPr>
        <w:t>账号：</w:t>
      </w:r>
      <w:r>
        <w:rPr>
          <w:spacing w:val="-4"/>
        </w:rPr>
        <w:br w:type="textWrapping"/>
      </w:r>
      <w:r>
        <w:rPr>
          <w:rFonts w:hint="eastAsia"/>
          <w:spacing w:val="-4"/>
          <w:lang w:val="en-US" w:eastAsia="zh-CN"/>
        </w:rPr>
        <w:tab/>
        <w:t/>
      </w:r>
      <w:r>
        <w:rPr>
          <w:rFonts w:hint="eastAsia"/>
          <w:spacing w:val="-4"/>
          <w:lang w:val="en-US" w:eastAsia="zh-CN"/>
        </w:rPr>
        <w:tab/>
        <w:t xml:space="preserve"> </w:t>
      </w:r>
      <w:r>
        <w:rPr>
          <w:rFonts w:hint="eastAsia"/>
          <w:spacing w:val="-4"/>
        </w:rPr>
        <w:t>学生账号： sju+学号，密码学校提供</w:t>
      </w:r>
    </w:p>
    <w:p w14:paraId="394FE870">
      <w:pPr>
        <w:pStyle w:val="2"/>
        <w:spacing w:before="196" w:line="289" w:lineRule="auto"/>
        <w:ind w:left="1570" w:right="1353" w:firstLine="1054" w:firstLineChars="0"/>
      </w:pPr>
      <w:r>
        <w:rPr>
          <w:rFonts w:hint="eastAsia"/>
          <w:spacing w:val="-4"/>
        </w:rPr>
        <w:t>教师账号： sju+工号，密码：工号</w:t>
      </w:r>
      <w:r>
        <w:rPr>
          <w:spacing w:val="-4"/>
        </w:rPr>
        <w:t>。</w:t>
      </w:r>
    </w:p>
    <w:p w14:paraId="52867E45">
      <w:pPr>
        <w:pStyle w:val="2"/>
        <w:spacing w:before="204" w:line="334" w:lineRule="auto"/>
        <w:ind w:left="1556" w:right="1002" w:firstLine="559"/>
        <w:jc w:val="both"/>
      </w:pPr>
      <w:r>
        <w:rPr>
          <w:spacing w:val="-7"/>
        </w:rPr>
        <w:t>（三）</w:t>
      </w:r>
      <w:r>
        <w:rPr>
          <w:b/>
          <w:bCs/>
          <w:spacing w:val="-7"/>
        </w:rPr>
        <w:t>建议在查重检测、格式检测完成无问题后进行检测，论文</w:t>
      </w:r>
      <w:r>
        <w:rPr>
          <w:b/>
          <w:bCs/>
          <w:spacing w:val="-5"/>
        </w:rPr>
        <w:t>应经过规范排版。</w:t>
      </w:r>
      <w:r>
        <w:rPr>
          <w:spacing w:val="-5"/>
        </w:rPr>
        <w:t>学生检测完成后，指导教师可登录查看论文质量评</w:t>
      </w:r>
      <w:r>
        <w:rPr>
          <w:spacing w:val="1"/>
        </w:rPr>
        <w:t>估报告，审核并修改</w:t>
      </w:r>
      <w:r>
        <w:t>AI</w:t>
      </w:r>
      <w:r>
        <w:rPr>
          <w:spacing w:val="-18"/>
        </w:rPr>
        <w:t xml:space="preserve"> </w:t>
      </w:r>
      <w:r>
        <w:rPr>
          <w:spacing w:val="1"/>
        </w:rPr>
        <w:t>评估结果。学生根据评估报告及教师审核意</w:t>
      </w:r>
      <w:r>
        <w:rPr>
          <w:spacing w:val="-4"/>
        </w:rPr>
        <w:t>见，对论文进行修改。</w:t>
      </w:r>
    </w:p>
    <w:p w14:paraId="2CC3F292">
      <w:pPr>
        <w:spacing w:line="334" w:lineRule="auto"/>
        <w:sectPr>
          <w:pgSz w:w="11906" w:h="16840"/>
          <w:pgMar w:top="312" w:right="787" w:bottom="0" w:left="278" w:header="0" w:footer="0" w:gutter="0"/>
          <w:cols w:space="720" w:num="1"/>
        </w:sectPr>
      </w:pPr>
    </w:p>
    <w:p w14:paraId="01D96C28">
      <w:pPr>
        <w:spacing w:before="189" w:line="219" w:lineRule="auto"/>
        <w:ind w:left="635"/>
        <w:outlineLvl w:val="0"/>
        <w:rPr>
          <w:rFonts w:ascii="宋体" w:hAnsi="宋体" w:eastAsia="宋体" w:cs="宋体"/>
          <w:sz w:val="30"/>
          <w:szCs w:val="30"/>
        </w:rPr>
      </w:pPr>
      <w:r>
        <w:rPr>
          <w:rFonts w:ascii="宋体" w:hAnsi="宋体" w:eastAsia="宋体" w:cs="宋体"/>
          <w:b/>
          <w:bCs/>
          <w:spacing w:val="-7"/>
          <w:sz w:val="30"/>
          <w:szCs w:val="30"/>
        </w:rPr>
        <w:t>三、学生端功能说明</w:t>
      </w:r>
    </w:p>
    <w:p w14:paraId="16E841E6">
      <w:pPr>
        <w:pStyle w:val="2"/>
        <w:spacing w:before="301" w:line="366" w:lineRule="auto"/>
        <w:ind w:left="90" w:right="461" w:firstLine="546"/>
      </w:pPr>
      <w:r>
        <w:rPr>
          <w:rFonts w:ascii="Times New Roman" w:hAnsi="Times New Roman" w:eastAsia="Times New Roman" w:cs="Times New Roman"/>
          <w:spacing w:val="-1"/>
        </w:rPr>
        <w:t xml:space="preserve">1.  </w:t>
      </w:r>
      <w:r>
        <w:rPr>
          <w:spacing w:val="-1"/>
        </w:rPr>
        <w:t>登录网址：</w:t>
      </w:r>
      <w:r>
        <w:fldChar w:fldCharType="begin"/>
      </w:r>
      <w:r>
        <w:instrText xml:space="preserve"> HYPERLINK "http://c.qingyanedu.cn:38080/paper-web/home" </w:instrText>
      </w:r>
      <w:r>
        <w:fldChar w:fldCharType="separate"/>
      </w:r>
      <w:r>
        <w:rPr>
          <w:spacing w:val="-1"/>
        </w:rPr>
        <w:t>http://c.q</w:t>
      </w:r>
      <w:r>
        <w:rPr>
          <w:spacing w:val="-2"/>
        </w:rPr>
        <w:t>ingyanedu.cn:</w:t>
      </w:r>
      <w:r>
        <w:rPr>
          <w:rFonts w:hint="eastAsia"/>
          <w:spacing w:val="-2"/>
        </w:rPr>
        <w:t>8998</w:t>
      </w:r>
      <w:r>
        <w:rPr>
          <w:spacing w:val="-2"/>
        </w:rPr>
        <w:t>/paper-web/home</w:t>
      </w:r>
      <w:r>
        <w:rPr>
          <w:spacing w:val="-2"/>
        </w:rPr>
        <w:fldChar w:fldCharType="end"/>
      </w:r>
      <w:r>
        <w:t xml:space="preserve"> </w:t>
      </w:r>
      <w:r>
        <w:rPr>
          <w:spacing w:val="-14"/>
        </w:rPr>
        <w:t>,  点击【立即体验】/【登录】。</w:t>
      </w:r>
    </w:p>
    <w:p w14:paraId="332A8F03">
      <w:pPr>
        <w:spacing w:line="4174" w:lineRule="exact"/>
        <w:ind w:firstLine="494"/>
      </w:pPr>
      <w:r>
        <w:rPr>
          <w:position w:val="-83"/>
        </w:rPr>
        <w:drawing>
          <wp:inline distT="0" distB="0" distL="0" distR="0">
            <wp:extent cx="5264785" cy="2650490"/>
            <wp:effectExtent l="0" t="0" r="0" b="0"/>
            <wp:docPr id="4" name="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 4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5419" cy="2650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6B5864">
      <w:pPr>
        <w:spacing w:line="337" w:lineRule="auto"/>
        <w:rPr>
          <w:rFonts w:ascii="Arial"/>
          <w:sz w:val="21"/>
        </w:rPr>
      </w:pPr>
    </w:p>
    <w:p w14:paraId="2EBCE38B">
      <w:pPr>
        <w:spacing w:line="337" w:lineRule="auto"/>
        <w:rPr>
          <w:rFonts w:ascii="Arial"/>
          <w:sz w:val="21"/>
        </w:rPr>
      </w:pPr>
    </w:p>
    <w:p w14:paraId="153CFC29">
      <w:pPr>
        <w:pStyle w:val="2"/>
        <w:spacing w:before="91" w:line="221" w:lineRule="auto"/>
        <w:ind w:left="584"/>
      </w:pPr>
      <w:r>
        <w:rPr>
          <w:rFonts w:ascii="Times New Roman" w:hAnsi="Times New Roman" w:eastAsia="Times New Roman" w:cs="Times New Roman"/>
          <w:spacing w:val="-1"/>
        </w:rPr>
        <w:t xml:space="preserve">2.  </w:t>
      </w:r>
      <w:r>
        <w:rPr>
          <w:spacing w:val="-1"/>
        </w:rPr>
        <w:t>选择“校内用户登录</w:t>
      </w:r>
      <w:r>
        <w:rPr>
          <w:spacing w:val="-58"/>
        </w:rPr>
        <w:t xml:space="preserve"> </w:t>
      </w:r>
      <w:r>
        <w:rPr>
          <w:spacing w:val="-1"/>
        </w:rPr>
        <w:t>”。</w:t>
      </w:r>
    </w:p>
    <w:p w14:paraId="548FF8A0">
      <w:pPr>
        <w:spacing w:before="198" w:line="4135" w:lineRule="exact"/>
        <w:ind w:firstLine="494"/>
      </w:pPr>
      <w:r>
        <w:rPr>
          <w:position w:val="-82"/>
        </w:rPr>
        <w:drawing>
          <wp:inline distT="0" distB="0" distL="0" distR="0">
            <wp:extent cx="5260340" cy="2625725"/>
            <wp:effectExtent l="0" t="0" r="0" b="0"/>
            <wp:docPr id="6" name="IM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 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0848" cy="2625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56028">
      <w:pPr>
        <w:spacing w:line="359" w:lineRule="auto"/>
        <w:rPr>
          <w:rFonts w:ascii="Arial"/>
          <w:sz w:val="21"/>
        </w:rPr>
      </w:pPr>
    </w:p>
    <w:p w14:paraId="6D380FEC">
      <w:pPr>
        <w:spacing w:line="359" w:lineRule="auto"/>
        <w:rPr>
          <w:rFonts w:ascii="Arial"/>
          <w:sz w:val="21"/>
        </w:rPr>
      </w:pPr>
    </w:p>
    <w:p w14:paraId="732EC1C5">
      <w:pPr>
        <w:pStyle w:val="2"/>
        <w:spacing w:before="91" w:line="396" w:lineRule="auto"/>
        <w:ind w:left="49" w:right="609" w:firstLine="544"/>
      </w:pPr>
      <w:r>
        <w:rPr>
          <w:rFonts w:ascii="Times New Roman" w:hAnsi="Times New Roman" w:eastAsia="Times New Roman" w:cs="Times New Roman"/>
          <w:spacing w:val="-1"/>
        </w:rPr>
        <w:t xml:space="preserve">3.  </w:t>
      </w:r>
      <w:r>
        <w:rPr>
          <w:spacing w:val="-1"/>
        </w:rPr>
        <w:t>学校选择“</w:t>
      </w:r>
      <w:r>
        <w:rPr>
          <w:spacing w:val="-94"/>
        </w:rPr>
        <w:t xml:space="preserve"> </w:t>
      </w:r>
      <w:r>
        <w:rPr>
          <w:rFonts w:hint="eastAsia"/>
          <w:spacing w:val="-3"/>
          <w:lang w:val="en-US" w:eastAsia="zh-CN"/>
        </w:rPr>
        <w:t>三江学院</w:t>
      </w:r>
      <w:bookmarkStart w:id="0" w:name="_GoBack"/>
      <w:bookmarkEnd w:id="0"/>
      <w:r>
        <w:rPr>
          <w:spacing w:val="-1"/>
        </w:rPr>
        <w:t>”，输入账号和密码（登录账号密码学</w:t>
      </w:r>
      <w:r>
        <w:rPr>
          <w:spacing w:val="-6"/>
        </w:rPr>
        <w:t>校提供）。</w:t>
      </w:r>
    </w:p>
    <w:p w14:paraId="4D92C2D6">
      <w:pPr>
        <w:spacing w:line="396" w:lineRule="auto"/>
        <w:sectPr>
          <w:pgSz w:w="11906" w:h="16840"/>
          <w:pgMar w:top="1431" w:right="1334" w:bottom="0" w:left="1785" w:header="0" w:footer="0" w:gutter="0"/>
          <w:cols w:space="720" w:num="1"/>
        </w:sectPr>
      </w:pPr>
    </w:p>
    <w:p w14:paraId="5BE119AD">
      <w:pPr>
        <w:spacing w:before="147" w:line="4078" w:lineRule="exact"/>
        <w:ind w:firstLine="494"/>
      </w:pPr>
      <w:r>
        <w:rPr>
          <w:position w:val="-81"/>
        </w:rPr>
        <w:drawing>
          <wp:inline distT="0" distB="0" distL="0" distR="0">
            <wp:extent cx="5273040" cy="2588895"/>
            <wp:effectExtent l="0" t="0" r="0" b="0"/>
            <wp:docPr id="8" name="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 8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89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49BD58">
      <w:pPr>
        <w:spacing w:line="247" w:lineRule="auto"/>
        <w:rPr>
          <w:rFonts w:ascii="Arial"/>
          <w:sz w:val="21"/>
        </w:rPr>
      </w:pPr>
    </w:p>
    <w:p w14:paraId="4D5B2EA6">
      <w:pPr>
        <w:pStyle w:val="2"/>
        <w:spacing w:before="91" w:line="221" w:lineRule="auto"/>
        <w:ind w:left="580"/>
      </w:pPr>
      <w:r>
        <w:rPr>
          <w:rFonts w:ascii="Times New Roman" w:hAnsi="Times New Roman" w:eastAsia="Times New Roman" w:cs="Times New Roman"/>
        </w:rPr>
        <w:t xml:space="preserve">4.  </w:t>
      </w:r>
      <w:r>
        <w:t>选择论文类型，选择评估服务类型，上传论</w:t>
      </w:r>
      <w:r>
        <w:rPr>
          <w:spacing w:val="-1"/>
        </w:rPr>
        <w:t>文，开始评估。</w:t>
      </w:r>
    </w:p>
    <w:p w14:paraId="275F6811">
      <w:pPr>
        <w:spacing w:before="167" w:line="4214" w:lineRule="exact"/>
        <w:ind w:firstLine="494"/>
      </w:pPr>
      <w:r>
        <w:rPr>
          <w:position w:val="-84"/>
        </w:rPr>
        <w:drawing>
          <wp:inline distT="0" distB="0" distL="0" distR="0">
            <wp:extent cx="5269865" cy="2675890"/>
            <wp:effectExtent l="0" t="0" r="0" b="0"/>
            <wp:docPr id="10" name="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 10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9991" cy="26761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674007">
      <w:pPr>
        <w:spacing w:line="324" w:lineRule="auto"/>
        <w:rPr>
          <w:rFonts w:ascii="Arial"/>
          <w:sz w:val="21"/>
        </w:rPr>
      </w:pPr>
    </w:p>
    <w:p w14:paraId="3F3EA0D0">
      <w:pPr>
        <w:spacing w:line="325" w:lineRule="auto"/>
        <w:rPr>
          <w:rFonts w:ascii="Arial"/>
          <w:sz w:val="21"/>
        </w:rPr>
      </w:pPr>
    </w:p>
    <w:p w14:paraId="1D92F974">
      <w:pPr>
        <w:pStyle w:val="2"/>
        <w:spacing w:before="91" w:line="222" w:lineRule="auto"/>
        <w:ind w:left="598"/>
      </w:pPr>
      <w:r>
        <w:rPr>
          <w:rFonts w:ascii="Times New Roman" w:hAnsi="Times New Roman" w:eastAsia="Times New Roman" w:cs="Times New Roman"/>
          <w:spacing w:val="-2"/>
        </w:rPr>
        <w:t xml:space="preserve">5.  </w:t>
      </w:r>
      <w:r>
        <w:rPr>
          <w:spacing w:val="-2"/>
        </w:rPr>
        <w:t>排队等待中。</w:t>
      </w:r>
    </w:p>
    <w:p w14:paraId="1BEEC907">
      <w:pPr>
        <w:pStyle w:val="2"/>
        <w:spacing w:before="91" w:line="221" w:lineRule="auto"/>
        <w:ind w:left="586" w:right="418" w:firstLine="17"/>
      </w:pPr>
      <w:r>
        <w:rPr>
          <w:spacing w:val="-2"/>
        </w:rPr>
        <w:t>（质量评估报告需要等待5分钟、全文批注报告</w:t>
      </w:r>
      <w:r>
        <w:rPr>
          <w:spacing w:val="-3"/>
        </w:rPr>
        <w:t>需要等待</w:t>
      </w:r>
      <w:r>
        <w:rPr>
          <w:rFonts w:hint="eastAsia"/>
          <w:spacing w:val="-3"/>
          <w:lang w:val="en-US" w:eastAsia="zh-CN"/>
        </w:rPr>
        <w:t>10分钟</w:t>
      </w:r>
      <w:r>
        <w:rPr>
          <w:spacing w:val="-3"/>
        </w:rPr>
        <w:t>、</w:t>
      </w:r>
      <w:r>
        <w:t xml:space="preserve"> AIGC检测报告需要等待2分钟）</w:t>
      </w:r>
    </w:p>
    <w:p w14:paraId="7B2F8600">
      <w:pPr>
        <w:spacing w:line="221" w:lineRule="auto"/>
        <w:sectPr>
          <w:pgSz w:w="11906" w:h="16840"/>
          <w:pgMar w:top="1431" w:right="1321" w:bottom="0" w:left="1785" w:header="0" w:footer="0" w:gutter="0"/>
          <w:cols w:space="720" w:num="1"/>
        </w:sectPr>
      </w:pPr>
    </w:p>
    <w:p w14:paraId="19F556C3">
      <w:pPr>
        <w:spacing w:before="75" w:line="4196" w:lineRule="exact"/>
        <w:ind w:firstLine="494"/>
      </w:pPr>
      <w:r>
        <w:rPr>
          <w:position w:val="-83"/>
        </w:rPr>
        <w:drawing>
          <wp:inline distT="0" distB="0" distL="0" distR="0">
            <wp:extent cx="5262245" cy="2663825"/>
            <wp:effectExtent l="0" t="0" r="0" b="0"/>
            <wp:docPr id="12" name="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 12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371" cy="2663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5B97BC">
      <w:pPr>
        <w:pStyle w:val="2"/>
        <w:spacing w:before="317" w:line="363" w:lineRule="auto"/>
        <w:ind w:left="106" w:right="480" w:firstLine="488"/>
      </w:pPr>
      <w:r>
        <w:rPr>
          <w:rFonts w:ascii="Times New Roman" w:hAnsi="Times New Roman" w:eastAsia="Times New Roman" w:cs="Times New Roman"/>
          <w:spacing w:val="2"/>
        </w:rPr>
        <w:t xml:space="preserve">6.  </w:t>
      </w:r>
      <w:r>
        <w:rPr>
          <w:spacing w:val="2"/>
        </w:rPr>
        <w:t>评估结束，左侧是论文正文，右侧是质量评估报告，支持导</w:t>
      </w:r>
      <w:r>
        <w:rPr>
          <w:spacing w:val="-18"/>
        </w:rPr>
        <w:t>出报告。</w:t>
      </w:r>
    </w:p>
    <w:p w14:paraId="08188F41">
      <w:pPr>
        <w:spacing w:line="4185" w:lineRule="exact"/>
        <w:ind w:firstLine="494"/>
      </w:pPr>
      <w:r>
        <w:rPr>
          <w:position w:val="-83"/>
        </w:rPr>
        <w:drawing>
          <wp:inline distT="0" distB="0" distL="0" distR="0">
            <wp:extent cx="5260340" cy="2657475"/>
            <wp:effectExtent l="0" t="0" r="0" b="0"/>
            <wp:docPr id="14" name="IM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 14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0847" cy="2657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8524AE">
      <w:pPr>
        <w:spacing w:line="349" w:lineRule="auto"/>
        <w:rPr>
          <w:rFonts w:ascii="Arial"/>
          <w:sz w:val="21"/>
        </w:rPr>
      </w:pPr>
    </w:p>
    <w:p w14:paraId="703E646A">
      <w:pPr>
        <w:spacing w:line="349" w:lineRule="auto"/>
        <w:rPr>
          <w:rFonts w:ascii="Arial"/>
          <w:sz w:val="21"/>
        </w:rPr>
      </w:pPr>
    </w:p>
    <w:p w14:paraId="1DF18B47">
      <w:pPr>
        <w:pStyle w:val="2"/>
        <w:spacing w:before="91" w:line="224" w:lineRule="auto"/>
        <w:ind w:left="599"/>
      </w:pPr>
      <w:r>
        <w:rPr>
          <w:spacing w:val="-1"/>
        </w:rPr>
        <w:t>7.论文的分数</w:t>
      </w:r>
    </w:p>
    <w:p w14:paraId="03E9D51C">
      <w:pPr>
        <w:spacing w:line="261" w:lineRule="auto"/>
        <w:rPr>
          <w:rFonts w:ascii="Arial"/>
          <w:sz w:val="21"/>
        </w:rPr>
      </w:pPr>
    </w:p>
    <w:p w14:paraId="4FC72EE0">
      <w:pPr>
        <w:pStyle w:val="2"/>
        <w:spacing w:before="91" w:line="336" w:lineRule="auto"/>
        <w:ind w:left="77" w:right="441" w:firstLine="536"/>
      </w:pPr>
      <w:r>
        <w:rPr>
          <w:spacing w:val="1"/>
        </w:rPr>
        <w:t>1.论文评分：当前系统评估为论文合格性评估，完全合</w:t>
      </w:r>
      <w:r>
        <w:t xml:space="preserve">格为5分 </w:t>
      </w:r>
      <w:r>
        <w:rPr>
          <w:spacing w:val="-1"/>
        </w:rPr>
        <w:t>,</w:t>
      </w:r>
      <w:r>
        <w:rPr>
          <w:spacing w:val="87"/>
        </w:rPr>
        <w:t xml:space="preserve"> </w:t>
      </w:r>
      <w:r>
        <w:rPr>
          <w:spacing w:val="-1"/>
        </w:rPr>
        <w:t>每一项打分都是5分才是一篇100%合格的论</w:t>
      </w:r>
      <w:r>
        <w:rPr>
          <w:spacing w:val="-2"/>
        </w:rPr>
        <w:t>文，单项低于5分的建</w:t>
      </w:r>
      <w:r>
        <w:rPr>
          <w:spacing w:val="-4"/>
        </w:rPr>
        <w:t>议修改！</w:t>
      </w:r>
    </w:p>
    <w:p w14:paraId="5901F64A">
      <w:pPr>
        <w:spacing w:line="259" w:lineRule="auto"/>
        <w:rPr>
          <w:rFonts w:ascii="Arial"/>
          <w:sz w:val="21"/>
        </w:rPr>
      </w:pPr>
    </w:p>
    <w:p w14:paraId="2936D91E">
      <w:pPr>
        <w:pStyle w:val="2"/>
        <w:spacing w:before="91" w:line="308" w:lineRule="auto"/>
        <w:ind w:left="77" w:right="578" w:firstLine="518"/>
      </w:pPr>
      <w:r>
        <w:rPr>
          <w:spacing w:val="1"/>
        </w:rPr>
        <w:t>2.合格概率：高于75%以上代表通过概率较高，低于75%以下建</w:t>
      </w:r>
      <w:r>
        <w:rPr>
          <w:spacing w:val="-4"/>
        </w:rPr>
        <w:t>议修改！</w:t>
      </w:r>
    </w:p>
    <w:p w14:paraId="0B52B06C">
      <w:pPr>
        <w:spacing w:line="308" w:lineRule="auto"/>
        <w:sectPr>
          <w:pgSz w:w="11906" w:h="16840"/>
          <w:pgMar w:top="1431" w:right="1338" w:bottom="0" w:left="1785" w:header="0" w:footer="0" w:gutter="0"/>
          <w:cols w:space="720" w:num="1"/>
        </w:sectPr>
      </w:pPr>
    </w:p>
    <w:p w14:paraId="27524969">
      <w:pPr>
        <w:spacing w:line="4209" w:lineRule="exact"/>
        <w:ind w:firstLine="583"/>
      </w:pPr>
      <w:r>
        <w:rPr>
          <w:position w:val="-84"/>
        </w:rPr>
        <w:drawing>
          <wp:inline distT="0" distB="0" distL="0" distR="0">
            <wp:extent cx="5260340" cy="2672715"/>
            <wp:effectExtent l="0" t="0" r="0" b="0"/>
            <wp:docPr id="16" name="IM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 16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0848" cy="267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A19021">
      <w:pPr>
        <w:spacing w:line="277" w:lineRule="auto"/>
        <w:rPr>
          <w:rFonts w:ascii="Arial"/>
          <w:sz w:val="21"/>
        </w:rPr>
      </w:pPr>
    </w:p>
    <w:p w14:paraId="13CAEDBD">
      <w:pPr>
        <w:spacing w:line="277" w:lineRule="auto"/>
        <w:rPr>
          <w:rFonts w:ascii="Arial"/>
          <w:sz w:val="21"/>
        </w:rPr>
      </w:pPr>
    </w:p>
    <w:p w14:paraId="6E499478">
      <w:pPr>
        <w:spacing w:line="277" w:lineRule="auto"/>
        <w:rPr>
          <w:rFonts w:ascii="Arial"/>
          <w:sz w:val="21"/>
        </w:rPr>
      </w:pPr>
    </w:p>
    <w:p w14:paraId="2AC5C1C4">
      <w:pPr>
        <w:spacing w:line="277" w:lineRule="auto"/>
        <w:rPr>
          <w:rFonts w:ascii="Arial"/>
          <w:sz w:val="21"/>
        </w:rPr>
      </w:pPr>
    </w:p>
    <w:p w14:paraId="69613C75">
      <w:pPr>
        <w:spacing w:line="277" w:lineRule="auto"/>
        <w:rPr>
          <w:rFonts w:ascii="Arial"/>
          <w:sz w:val="21"/>
        </w:rPr>
      </w:pPr>
    </w:p>
    <w:p w14:paraId="0907AB65">
      <w:pPr>
        <w:spacing w:line="278" w:lineRule="auto"/>
        <w:rPr>
          <w:rFonts w:ascii="Arial"/>
          <w:sz w:val="21"/>
        </w:rPr>
      </w:pPr>
    </w:p>
    <w:p w14:paraId="0964277E">
      <w:pPr>
        <w:pStyle w:val="2"/>
        <w:spacing w:before="91" w:line="395" w:lineRule="auto"/>
        <w:ind w:left="107" w:right="551" w:firstLine="493"/>
      </w:pPr>
      <w:r>
        <w:rPr>
          <w:rFonts w:ascii="Times New Roman" w:hAnsi="Times New Roman" w:eastAsia="Times New Roman" w:cs="Times New Roman"/>
        </w:rPr>
        <w:t xml:space="preserve">8.  </w:t>
      </w:r>
      <w:r>
        <w:t>评估失败的论文会出现在系统左侧“评估失败</w:t>
      </w:r>
      <w:r>
        <w:rPr>
          <w:spacing w:val="-55"/>
        </w:rPr>
        <w:t xml:space="preserve"> </w:t>
      </w:r>
      <w:r>
        <w:t>”一栏中，可</w:t>
      </w:r>
      <w:r>
        <w:rPr>
          <w:spacing w:val="-4"/>
        </w:rPr>
        <w:t>以点击论文查看具体原因，并把问题反馈给客服人员。</w:t>
      </w:r>
    </w:p>
    <w:p w14:paraId="65996D5C">
      <w:pPr>
        <w:spacing w:line="319" w:lineRule="auto"/>
        <w:rPr>
          <w:rFonts w:ascii="Arial"/>
          <w:sz w:val="21"/>
        </w:rPr>
      </w:pPr>
    </w:p>
    <w:p w14:paraId="33121050">
      <w:pPr>
        <w:spacing w:line="320" w:lineRule="auto"/>
        <w:rPr>
          <w:rFonts w:ascii="Arial"/>
          <w:sz w:val="21"/>
        </w:rPr>
      </w:pPr>
    </w:p>
    <w:p w14:paraId="7F88158A">
      <w:pPr>
        <w:spacing w:line="4030" w:lineRule="exact"/>
        <w:ind w:firstLine="494"/>
      </w:pPr>
      <w:r>
        <w:rPr>
          <w:position w:val="-80"/>
        </w:rPr>
        <w:drawing>
          <wp:inline distT="0" distB="0" distL="0" distR="0">
            <wp:extent cx="5266690" cy="2558415"/>
            <wp:effectExtent l="0" t="0" r="0" b="0"/>
            <wp:docPr id="18" name="IM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 18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943" cy="25589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E35C1E">
      <w:pPr>
        <w:pStyle w:val="2"/>
        <w:spacing w:before="162" w:line="395" w:lineRule="auto"/>
        <w:ind w:left="78" w:right="499" w:firstLine="515"/>
      </w:pPr>
      <w:r>
        <w:rPr>
          <w:spacing w:val="-2"/>
        </w:rPr>
        <w:t>9.导出报告时出现没反应是浏览器拦截导致</w:t>
      </w:r>
      <w:r>
        <w:rPr>
          <w:spacing w:val="-3"/>
        </w:rPr>
        <w:t>，点击浏览器的拦截</w:t>
      </w:r>
      <w:r>
        <w:rPr>
          <w:spacing w:val="-5"/>
        </w:rPr>
        <w:t>就可以打开</w:t>
      </w:r>
    </w:p>
    <w:p w14:paraId="662A29C6">
      <w:pPr>
        <w:spacing w:line="434" w:lineRule="auto"/>
        <w:rPr>
          <w:rFonts w:ascii="Arial"/>
          <w:sz w:val="21"/>
        </w:rPr>
      </w:pPr>
    </w:p>
    <w:p w14:paraId="2E6948E0">
      <w:pPr>
        <w:spacing w:line="1472" w:lineRule="exact"/>
      </w:pPr>
      <w:r>
        <w:rPr>
          <w:position w:val="-29"/>
        </w:rPr>
        <w:drawing>
          <wp:inline distT="0" distB="0" distL="0" distR="0">
            <wp:extent cx="5570220" cy="934085"/>
            <wp:effectExtent l="0" t="0" r="0" b="0"/>
            <wp:docPr id="20" name="IM 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 20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570220" cy="934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B847EA">
      <w:pPr>
        <w:spacing w:line="1472" w:lineRule="exact"/>
        <w:sectPr>
          <w:pgSz w:w="11906" w:h="16840"/>
          <w:pgMar w:top="1430" w:right="1252" w:bottom="0" w:left="1785" w:header="0" w:footer="0" w:gutter="0"/>
          <w:cols w:space="720" w:num="1"/>
        </w:sectPr>
      </w:pPr>
    </w:p>
    <w:p w14:paraId="02BF5DBE">
      <w:pPr>
        <w:spacing w:line="286" w:lineRule="auto"/>
        <w:rPr>
          <w:rFonts w:ascii="Arial"/>
          <w:sz w:val="21"/>
        </w:rPr>
      </w:pPr>
    </w:p>
    <w:p w14:paraId="3A4D04DA">
      <w:pPr>
        <w:spacing w:before="98" w:line="219" w:lineRule="auto"/>
        <w:ind w:left="692"/>
        <w:outlineLvl w:val="0"/>
        <w:rPr>
          <w:rFonts w:ascii="宋体" w:hAnsi="宋体" w:eastAsia="宋体" w:cs="宋体"/>
          <w:sz w:val="30"/>
          <w:szCs w:val="30"/>
        </w:rPr>
      </w:pPr>
      <w:r>
        <w:rPr>
          <w:rFonts w:ascii="宋体" w:hAnsi="宋体" w:eastAsia="宋体" w:cs="宋体"/>
          <w:b/>
          <w:bCs/>
          <w:spacing w:val="-13"/>
          <w:sz w:val="30"/>
          <w:szCs w:val="30"/>
        </w:rPr>
        <w:t>四、教师端功能说明</w:t>
      </w:r>
    </w:p>
    <w:p w14:paraId="03C02336">
      <w:pPr>
        <w:pStyle w:val="2"/>
        <w:spacing w:before="278" w:line="224" w:lineRule="auto"/>
        <w:ind w:left="609"/>
        <w:outlineLvl w:val="1"/>
      </w:pPr>
      <w:r>
        <w:rPr>
          <w:spacing w:val="-7"/>
        </w:rPr>
        <w:t>（一）</w:t>
      </w:r>
      <w:r>
        <w:rPr>
          <w:b/>
          <w:bCs/>
          <w:spacing w:val="-7"/>
        </w:rPr>
        <w:t>论文上传</w:t>
      </w:r>
    </w:p>
    <w:p w14:paraId="5A38E616">
      <w:pPr>
        <w:pStyle w:val="2"/>
        <w:spacing w:before="179" w:line="223" w:lineRule="auto"/>
        <w:ind w:left="632"/>
      </w:pPr>
      <w:r>
        <w:rPr>
          <w:spacing w:val="-4"/>
        </w:rPr>
        <w:t>1.教师端登录及论文上传过程同学生端。</w:t>
      </w:r>
    </w:p>
    <w:p w14:paraId="1584F61E">
      <w:pPr>
        <w:pStyle w:val="2"/>
        <w:spacing w:before="182" w:line="224" w:lineRule="auto"/>
        <w:ind w:left="609"/>
        <w:outlineLvl w:val="1"/>
      </w:pPr>
      <w:r>
        <w:rPr>
          <w:b/>
          <w:bCs/>
          <w:spacing w:val="-8"/>
        </w:rPr>
        <w:t>（二）学生论文管理</w:t>
      </w:r>
    </w:p>
    <w:p w14:paraId="7C5D3788">
      <w:pPr>
        <w:pStyle w:val="2"/>
        <w:spacing w:before="200" w:line="334" w:lineRule="auto"/>
        <w:ind w:left="49" w:right="590" w:firstLine="583"/>
        <w:jc w:val="both"/>
      </w:pPr>
      <w:r>
        <w:rPr>
          <w:spacing w:val="-5"/>
        </w:rPr>
        <w:t>1.双选后，教师可以看到自己指导的学生上传的论文列</w:t>
      </w:r>
      <w:r>
        <w:rPr>
          <w:spacing w:val="-6"/>
        </w:rPr>
        <w:t>表，支持</w:t>
      </w:r>
      <w:r>
        <w:rPr>
          <w:spacing w:val="-4"/>
        </w:rPr>
        <w:t>通过评估时间/评估结果/学生姓名等条件，检索管理所负责</w:t>
      </w:r>
      <w:r>
        <w:rPr>
          <w:spacing w:val="-5"/>
        </w:rPr>
        <w:t>学生的论</w:t>
      </w:r>
      <w:r>
        <w:rPr>
          <w:spacing w:val="-4"/>
        </w:rPr>
        <w:t>文。支持将学生论文评估情况导出为表格文件方便后续处</w:t>
      </w:r>
      <w:r>
        <w:rPr>
          <w:spacing w:val="-5"/>
        </w:rPr>
        <w:t>理。支持导</w:t>
      </w:r>
      <w:r>
        <w:rPr>
          <w:spacing w:val="-3"/>
        </w:rPr>
        <w:t>出单个论文的论文质量评估报告。</w:t>
      </w:r>
    </w:p>
    <w:p w14:paraId="217FAFA9">
      <w:pPr>
        <w:spacing w:line="419" w:lineRule="auto"/>
        <w:rPr>
          <w:rFonts w:ascii="Arial"/>
          <w:sz w:val="21"/>
        </w:rPr>
      </w:pPr>
    </w:p>
    <w:p w14:paraId="67D6E98B">
      <w:pPr>
        <w:spacing w:line="3898" w:lineRule="exact"/>
        <w:ind w:firstLine="614"/>
      </w:pPr>
      <w:r>
        <w:rPr>
          <w:position w:val="-77"/>
        </w:rPr>
        <w:drawing>
          <wp:inline distT="0" distB="0" distL="0" distR="0">
            <wp:extent cx="5271135" cy="2474595"/>
            <wp:effectExtent l="0" t="0" r="0" b="0"/>
            <wp:docPr id="22" name="IM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 22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1515" cy="2474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411475">
      <w:pPr>
        <w:spacing w:line="3898" w:lineRule="exact"/>
        <w:sectPr>
          <w:pgSz w:w="11906" w:h="16840"/>
          <w:pgMar w:top="1431" w:right="1204" w:bottom="0" w:left="1785" w:header="0" w:footer="0" w:gutter="0"/>
          <w:cols w:space="720" w:num="1"/>
        </w:sectPr>
      </w:pPr>
    </w:p>
    <w:p w14:paraId="55479BE7">
      <w:pPr>
        <w:pStyle w:val="2"/>
        <w:spacing w:before="223" w:line="326" w:lineRule="auto"/>
        <w:ind w:left="54" w:right="602" w:firstLine="542"/>
      </w:pPr>
      <w:r>
        <w:rPr>
          <w:spacing w:val="2"/>
        </w:rPr>
        <w:t>2.查看学生上传的论文，可以查看</w:t>
      </w:r>
      <w:r>
        <w:t>AI</w:t>
      </w:r>
      <w:r>
        <w:rPr>
          <w:spacing w:val="-30"/>
        </w:rPr>
        <w:t xml:space="preserve"> </w:t>
      </w:r>
      <w:r>
        <w:rPr>
          <w:spacing w:val="2"/>
        </w:rPr>
        <w:t>论文质</w:t>
      </w:r>
      <w:r>
        <w:rPr>
          <w:spacing w:val="1"/>
        </w:rPr>
        <w:t>量评估报告，可以</w:t>
      </w:r>
      <w:r>
        <w:rPr>
          <w:spacing w:val="-4"/>
        </w:rPr>
        <w:t>对论文评估结果做二次复审。</w:t>
      </w:r>
    </w:p>
    <w:p w14:paraId="341ED2D3">
      <w:pPr>
        <w:spacing w:line="421" w:lineRule="auto"/>
        <w:rPr>
          <w:rFonts w:ascii="Arial"/>
          <w:sz w:val="21"/>
        </w:rPr>
      </w:pPr>
    </w:p>
    <w:p w14:paraId="580FB7D4">
      <w:pPr>
        <w:spacing w:line="4185" w:lineRule="exact"/>
        <w:ind w:firstLine="614"/>
      </w:pPr>
      <w:r>
        <w:rPr>
          <w:position w:val="-83"/>
        </w:rPr>
        <w:drawing>
          <wp:inline distT="0" distB="0" distL="0" distR="0">
            <wp:extent cx="5271135" cy="2656840"/>
            <wp:effectExtent l="0" t="0" r="0" b="0"/>
            <wp:docPr id="24" name="IM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 24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515" cy="2657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54749">
      <w:pPr>
        <w:spacing w:line="250" w:lineRule="auto"/>
        <w:rPr>
          <w:rFonts w:ascii="Arial"/>
          <w:sz w:val="21"/>
        </w:rPr>
      </w:pPr>
    </w:p>
    <w:p w14:paraId="2B7EC07B">
      <w:pPr>
        <w:spacing w:line="250" w:lineRule="auto"/>
        <w:rPr>
          <w:rFonts w:ascii="Arial"/>
          <w:sz w:val="21"/>
        </w:rPr>
      </w:pPr>
    </w:p>
    <w:p w14:paraId="1CC865B1">
      <w:pPr>
        <w:spacing w:line="250" w:lineRule="auto"/>
        <w:rPr>
          <w:rFonts w:ascii="Arial"/>
          <w:sz w:val="21"/>
        </w:rPr>
      </w:pPr>
    </w:p>
    <w:p w14:paraId="17D0676B">
      <w:pPr>
        <w:pStyle w:val="2"/>
        <w:spacing w:before="91" w:line="306" w:lineRule="auto"/>
        <w:ind w:left="48" w:right="599" w:firstLine="552"/>
      </w:pPr>
      <w:r>
        <w:rPr>
          <w:spacing w:val="-4"/>
        </w:rPr>
        <w:t>3.教师可以直接判断论文通过或不通过，</w:t>
      </w:r>
      <w:r>
        <w:rPr>
          <w:spacing w:val="-5"/>
        </w:rPr>
        <w:t>同时可以对各个二级指</w:t>
      </w:r>
      <w:r>
        <w:rPr>
          <w:spacing w:val="-3"/>
        </w:rPr>
        <w:t>标判断的分数及理由复审，并提出修改意见。</w:t>
      </w:r>
    </w:p>
    <w:p w14:paraId="3325F706">
      <w:pPr>
        <w:spacing w:line="4108" w:lineRule="exact"/>
        <w:ind w:firstLine="494"/>
      </w:pPr>
      <w:r>
        <w:rPr>
          <w:position w:val="-82"/>
        </w:rPr>
        <w:drawing>
          <wp:inline distT="0" distB="0" distL="0" distR="0">
            <wp:extent cx="5260340" cy="2608580"/>
            <wp:effectExtent l="0" t="0" r="0" b="0"/>
            <wp:docPr id="26" name="IM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 26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0847" cy="2608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CA031A">
      <w:pPr>
        <w:spacing w:line="350" w:lineRule="auto"/>
        <w:rPr>
          <w:rFonts w:ascii="Arial"/>
          <w:sz w:val="21"/>
        </w:rPr>
      </w:pPr>
    </w:p>
    <w:p w14:paraId="2A2B6D54">
      <w:pPr>
        <w:spacing w:line="350" w:lineRule="auto"/>
        <w:rPr>
          <w:rFonts w:ascii="Arial"/>
          <w:sz w:val="21"/>
        </w:rPr>
      </w:pPr>
    </w:p>
    <w:p w14:paraId="7BA80EB4">
      <w:pPr>
        <w:spacing w:before="97" w:line="219" w:lineRule="auto"/>
        <w:ind w:left="644"/>
        <w:outlineLvl w:val="0"/>
        <w:rPr>
          <w:rFonts w:ascii="宋体" w:hAnsi="宋体" w:eastAsia="宋体" w:cs="宋体"/>
          <w:sz w:val="30"/>
          <w:szCs w:val="30"/>
        </w:rPr>
      </w:pPr>
      <w:r>
        <w:rPr>
          <w:rFonts w:ascii="宋体" w:hAnsi="宋体" w:eastAsia="宋体" w:cs="宋体"/>
          <w:b/>
          <w:bCs/>
          <w:spacing w:val="-8"/>
          <w:sz w:val="30"/>
          <w:szCs w:val="30"/>
        </w:rPr>
        <w:t>五、管理端功能说明</w:t>
      </w:r>
    </w:p>
    <w:p w14:paraId="2F765469">
      <w:pPr>
        <w:pStyle w:val="2"/>
        <w:spacing w:before="285" w:line="224" w:lineRule="auto"/>
        <w:ind w:left="609"/>
      </w:pPr>
      <w:r>
        <w:rPr>
          <w:b/>
          <w:bCs/>
          <w:spacing w:val="-8"/>
        </w:rPr>
        <w:t>（一）论文质量管理</w:t>
      </w:r>
    </w:p>
    <w:p w14:paraId="3531D983">
      <w:pPr>
        <w:spacing w:line="224" w:lineRule="auto"/>
        <w:sectPr>
          <w:pgSz w:w="11906" w:h="16840"/>
          <w:pgMar w:top="1431" w:right="1204" w:bottom="0" w:left="1785" w:header="0" w:footer="0" w:gutter="0"/>
          <w:cols w:space="720" w:num="1"/>
        </w:sectPr>
      </w:pPr>
    </w:p>
    <w:p w14:paraId="0C5EB57B">
      <w:pPr>
        <w:pStyle w:val="2"/>
        <w:spacing w:before="224" w:line="276" w:lineRule="auto"/>
        <w:ind w:left="81" w:right="11" w:firstLine="551"/>
      </w:pPr>
      <w:r>
        <w:rPr>
          <w:spacing w:val="-5"/>
        </w:rPr>
        <w:t>1.支持实时查看学生毕业论文评估情况，对论文评</w:t>
      </w:r>
      <w:r>
        <w:rPr>
          <w:spacing w:val="-6"/>
        </w:rPr>
        <w:t>估全过程进行</w:t>
      </w:r>
      <w:r>
        <w:rPr>
          <w:spacing w:val="-15"/>
        </w:rPr>
        <w:t>管理。</w:t>
      </w:r>
    </w:p>
    <w:p w14:paraId="5E56612D">
      <w:pPr>
        <w:pStyle w:val="2"/>
        <w:spacing w:before="177" w:line="221" w:lineRule="auto"/>
        <w:ind w:left="598"/>
      </w:pPr>
      <w:r>
        <w:rPr>
          <w:spacing w:val="-2"/>
        </w:rPr>
        <w:t>2.支持查看具体论文质量评估结果。</w:t>
      </w:r>
    </w:p>
    <w:p w14:paraId="7C04A186">
      <w:pPr>
        <w:pStyle w:val="2"/>
        <w:spacing w:before="183" w:line="223" w:lineRule="auto"/>
        <w:ind w:left="609"/>
        <w:outlineLvl w:val="1"/>
      </w:pPr>
      <w:r>
        <w:rPr>
          <w:b/>
          <w:bCs/>
          <w:spacing w:val="-8"/>
        </w:rPr>
        <w:t>（二）论文质量统计</w:t>
      </w:r>
    </w:p>
    <w:p w14:paraId="086A2266">
      <w:pPr>
        <w:pStyle w:val="2"/>
        <w:spacing w:before="179" w:line="221" w:lineRule="auto"/>
        <w:ind w:left="632"/>
      </w:pPr>
      <w:r>
        <w:rPr>
          <w:spacing w:val="-3"/>
        </w:rPr>
        <w:t>1.支持按照学院维度查看全校论文质量评估分析情况。</w:t>
      </w:r>
    </w:p>
    <w:p w14:paraId="7E84F288">
      <w:pPr>
        <w:pStyle w:val="2"/>
        <w:spacing w:before="209" w:line="274" w:lineRule="auto"/>
        <w:ind w:left="49" w:right="20" w:firstLine="546"/>
      </w:pPr>
      <w:r>
        <w:rPr>
          <w:spacing w:val="-4"/>
        </w:rPr>
        <w:t>2.可以根据论文质量评价结果显示分类统计数</w:t>
      </w:r>
      <w:r>
        <w:rPr>
          <w:spacing w:val="-5"/>
        </w:rPr>
        <w:t>量，可根据论文评</w:t>
      </w:r>
      <w:r>
        <w:rPr>
          <w:spacing w:val="-2"/>
        </w:rPr>
        <w:t>测次数，展示二级学院论文评测数量排名。</w:t>
      </w:r>
    </w:p>
    <w:p w14:paraId="7E51E902">
      <w:pPr>
        <w:pStyle w:val="2"/>
        <w:spacing w:before="182" w:line="223" w:lineRule="auto"/>
        <w:ind w:left="603"/>
        <w:rPr>
          <w:spacing w:val="-2"/>
        </w:rPr>
      </w:pPr>
      <w:r>
        <w:rPr>
          <w:spacing w:val="-2"/>
        </w:rPr>
        <w:t>3.可以显示各学院不合格论文数量统计。</w:t>
      </w:r>
    </w:p>
    <w:p w14:paraId="57D04DC9">
      <w:pPr>
        <w:pStyle w:val="2"/>
        <w:spacing w:before="183" w:line="223" w:lineRule="auto"/>
        <w:ind w:left="609"/>
        <w:outlineLvl w:val="1"/>
        <w:rPr>
          <w:rFonts w:hint="eastAsia"/>
          <w:b/>
          <w:bCs/>
          <w:spacing w:val="-8"/>
          <w:lang w:val="en-US" w:eastAsia="zh-CN"/>
        </w:rPr>
      </w:pPr>
      <w:r>
        <w:rPr>
          <w:rFonts w:hint="eastAsia"/>
          <w:b/>
          <w:bCs/>
          <w:spacing w:val="-8"/>
          <w:lang w:val="en-US" w:eastAsia="zh-CN"/>
        </w:rPr>
        <w:t>（三）论文抽检</w:t>
      </w:r>
    </w:p>
    <w:p w14:paraId="2A31C9E6">
      <w:pPr>
        <w:pStyle w:val="2"/>
        <w:spacing w:before="179" w:line="221" w:lineRule="auto"/>
        <w:ind w:left="632"/>
        <w:rPr>
          <w:rFonts w:hint="eastAsia" w:eastAsia="仿宋"/>
          <w:lang w:eastAsia="zh-CN"/>
        </w:rPr>
      </w:pPr>
      <w:r>
        <w:rPr>
          <w:rFonts w:hint="eastAsia"/>
          <w:spacing w:val="-3"/>
          <w:lang w:val="en-US" w:eastAsia="zh-CN"/>
        </w:rPr>
        <w:t>1. 支持按照学院维度新增论文抽检项目文件夹。</w:t>
      </w:r>
    </w:p>
    <w:p w14:paraId="160ADC2D">
      <w:pPr>
        <w:pStyle w:val="2"/>
        <w:bidi w:val="0"/>
      </w:pPr>
      <w:r>
        <w:drawing>
          <wp:inline distT="0" distB="0" distL="114300" distR="114300">
            <wp:extent cx="5274310" cy="2703830"/>
            <wp:effectExtent l="0" t="0" r="254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0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9ED441">
      <w:pPr>
        <w:pStyle w:val="2"/>
        <w:spacing w:before="179" w:line="221" w:lineRule="auto"/>
        <w:ind w:left="632"/>
        <w:rPr>
          <w:rFonts w:hint="eastAsia" w:eastAsia="仿宋"/>
          <w:lang w:eastAsia="zh-CN"/>
        </w:rPr>
      </w:pPr>
      <w:r>
        <w:rPr>
          <w:rFonts w:hint="eastAsia"/>
          <w:spacing w:val="-3"/>
          <w:lang w:val="en-US" w:eastAsia="zh-CN"/>
        </w:rPr>
        <w:t xml:space="preserve">2. 能够批量上传 PDF 格式的论文，每次最多可批量上传 30 篇。 </w:t>
      </w:r>
    </w:p>
    <w:p w14:paraId="59930BFF">
      <w:pPr>
        <w:pStyle w:val="2"/>
        <w:bidi w:val="0"/>
      </w:pPr>
      <w:r>
        <w:drawing>
          <wp:inline distT="0" distB="0" distL="114300" distR="114300">
            <wp:extent cx="5262880" cy="2827655"/>
            <wp:effectExtent l="0" t="0" r="4445" b="1270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2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DBD42">
      <w:pPr>
        <w:pStyle w:val="2"/>
        <w:spacing w:before="179" w:line="221" w:lineRule="auto"/>
        <w:ind w:firstLine="500" w:firstLineChars="0"/>
        <w:rPr>
          <w:rFonts w:hint="eastAsia" w:eastAsia="仿宋"/>
          <w:lang w:eastAsia="zh-CN"/>
        </w:rPr>
      </w:pPr>
      <w:r>
        <w:rPr>
          <w:rFonts w:hint="eastAsia"/>
          <w:spacing w:val="-3"/>
          <w:lang w:val="en-US" w:eastAsia="zh-CN"/>
        </w:rPr>
        <w:t xml:space="preserve">3. 上传成功后，学院文件夹的右上角会展示总评估次数、评估合格篇数以及评估不合格篇数。在列表页，可通过标签快速查看处于评估中、评估合格、评估不合格以及评估失败的论文。 </w:t>
      </w:r>
    </w:p>
    <w:p w14:paraId="79DF8CBE">
      <w:pPr>
        <w:pStyle w:val="2"/>
        <w:bidi w:val="0"/>
        <w:rPr>
          <w:rFonts w:hint="eastAsia"/>
          <w:lang w:val="en-US" w:eastAsia="zh-CN"/>
        </w:rPr>
      </w:pPr>
      <w:r>
        <w:drawing>
          <wp:inline distT="0" distB="0" distL="114300" distR="114300">
            <wp:extent cx="5279390" cy="2844800"/>
            <wp:effectExtent l="0" t="0" r="6985" b="3175"/>
            <wp:docPr id="1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9390" cy="284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DB0007">
      <w:pPr>
        <w:bidi w:val="0"/>
        <w:rPr>
          <w:rFonts w:hint="default"/>
          <w:lang w:val="en-US" w:eastAsia="zh-CN"/>
        </w:rPr>
      </w:pPr>
    </w:p>
    <w:p w14:paraId="788A9CDD">
      <w:pPr>
        <w:bidi w:val="0"/>
        <w:rPr>
          <w:rFonts w:hint="default"/>
          <w:lang w:val="en-US" w:eastAsia="zh-CN"/>
        </w:rPr>
      </w:pPr>
    </w:p>
    <w:p w14:paraId="2D8065B9">
      <w:pPr>
        <w:bidi w:val="0"/>
        <w:rPr>
          <w:rFonts w:hint="default"/>
          <w:lang w:val="en-US" w:eastAsia="zh-CN"/>
        </w:rPr>
      </w:pPr>
    </w:p>
    <w:p w14:paraId="213DA86E">
      <w:pPr>
        <w:bidi w:val="0"/>
        <w:rPr>
          <w:rFonts w:hint="default"/>
          <w:lang w:val="en-US" w:eastAsia="zh-CN"/>
        </w:rPr>
      </w:pPr>
    </w:p>
    <w:p w14:paraId="7B113E26">
      <w:pPr>
        <w:bidi w:val="0"/>
      </w:pPr>
    </w:p>
    <w:p w14:paraId="60AC399F">
      <w:pPr>
        <w:spacing w:line="293" w:lineRule="auto"/>
        <w:rPr>
          <w:rFonts w:ascii="Arial"/>
          <w:sz w:val="21"/>
        </w:rPr>
      </w:pPr>
    </w:p>
    <w:p w14:paraId="69CF79B9">
      <w:pPr>
        <w:spacing w:before="98" w:line="219" w:lineRule="auto"/>
        <w:ind w:left="640"/>
        <w:outlineLvl w:val="0"/>
        <w:rPr>
          <w:rFonts w:ascii="宋体" w:hAnsi="宋体" w:eastAsia="宋体" w:cs="宋体"/>
          <w:sz w:val="30"/>
          <w:szCs w:val="30"/>
        </w:rPr>
      </w:pPr>
      <w:r>
        <w:rPr>
          <w:rFonts w:ascii="宋体" w:hAnsi="宋体" w:eastAsia="宋体" w:cs="宋体"/>
          <w:b/>
          <w:bCs/>
          <w:spacing w:val="-8"/>
          <w:sz w:val="30"/>
          <w:szCs w:val="30"/>
        </w:rPr>
        <w:t>六、常见格式问题</w:t>
      </w:r>
    </w:p>
    <w:p w14:paraId="2C17B327">
      <w:pPr>
        <w:pStyle w:val="2"/>
        <w:spacing w:before="278" w:line="222" w:lineRule="auto"/>
        <w:ind w:left="632" w:firstLine="272" w:firstLineChars="100"/>
      </w:pPr>
      <w:r>
        <w:rPr>
          <w:spacing w:val="-4"/>
        </w:rPr>
        <w:t>1、论文格式，封面参考学校要求。</w:t>
      </w:r>
    </w:p>
    <w:p w14:paraId="25887515">
      <w:pPr>
        <w:spacing w:line="222" w:lineRule="auto"/>
      </w:pPr>
    </w:p>
    <w:p w14:paraId="2DA4606E">
      <w:pPr>
        <w:spacing w:line="222" w:lineRule="auto"/>
        <w:ind w:firstLine="500" w:firstLineChars="0"/>
      </w:pPr>
    </w:p>
    <w:p w14:paraId="2CA3810D">
      <w:pPr>
        <w:spacing w:before="102" w:line="9441" w:lineRule="exact"/>
        <w:ind w:firstLine="573"/>
      </w:pPr>
      <w:r>
        <w:rPr>
          <w:position w:val="-188"/>
        </w:rPr>
        <w:drawing>
          <wp:inline distT="0" distB="0" distL="0" distR="0">
            <wp:extent cx="4655820" cy="5995035"/>
            <wp:effectExtent l="0" t="0" r="0" b="0"/>
            <wp:docPr id="28" name="IM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 28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55820" cy="599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37036">
      <w:pPr>
        <w:pStyle w:val="2"/>
        <w:spacing w:before="325" w:line="222" w:lineRule="auto"/>
        <w:ind w:left="598"/>
      </w:pPr>
      <w:r>
        <w:rPr>
          <w:rFonts w:hint="eastAsia"/>
          <w:spacing w:val="-7"/>
          <w:lang w:val="en-US" w:eastAsia="zh-CN"/>
        </w:rPr>
        <w:t>2</w:t>
      </w:r>
      <w:r>
        <w:rPr>
          <w:spacing w:val="-7"/>
        </w:rPr>
        <w:t xml:space="preserve">、 </w:t>
      </w:r>
      <w:r>
        <w:rPr>
          <w:rFonts w:hint="eastAsia" w:ascii="仿宋" w:hAnsi="仿宋" w:eastAsia="仿宋" w:cs="仿宋"/>
          <w:snapToGrid w:val="0"/>
          <w:color w:val="000000"/>
          <w:spacing w:val="-4"/>
          <w:kern w:val="0"/>
          <w:sz w:val="28"/>
          <w:szCs w:val="28"/>
          <w:lang w:val="en-US" w:eastAsia="zh-CN" w:bidi="ar-SA"/>
        </w:rPr>
        <w:t>检查目录是否是word自动生成</w:t>
      </w:r>
      <w:r>
        <w:rPr>
          <w:rFonts w:hint="eastAsia" w:cs="仿宋"/>
          <w:snapToGrid w:val="0"/>
          <w:color w:val="000000"/>
          <w:spacing w:val="-4"/>
          <w:kern w:val="0"/>
          <w:sz w:val="28"/>
          <w:szCs w:val="28"/>
          <w:lang w:val="en-US" w:eastAsia="zh-CN" w:bidi="ar-SA"/>
        </w:rPr>
        <w:t>，</w:t>
      </w:r>
      <w:r>
        <w:rPr>
          <w:spacing w:val="-7"/>
        </w:rPr>
        <w:t>目录的章节内容跟正文的章节内容保持一致。</w:t>
      </w:r>
    </w:p>
    <w:p w14:paraId="1C8A406F">
      <w:pPr>
        <w:spacing w:line="222" w:lineRule="auto"/>
        <w:sectPr>
          <w:pgSz w:w="11906" w:h="16840"/>
          <w:pgMar w:top="1431" w:right="1785" w:bottom="0" w:left="1785" w:header="0" w:footer="0" w:gutter="0"/>
          <w:cols w:space="720" w:num="1"/>
        </w:sectPr>
      </w:pPr>
    </w:p>
    <w:p w14:paraId="00213715">
      <w:pPr>
        <w:spacing w:before="75" w:line="9528" w:lineRule="exact"/>
        <w:ind w:firstLine="494"/>
      </w:pPr>
      <w:r>
        <w:rPr>
          <w:position w:val="-190"/>
        </w:rPr>
        <w:drawing>
          <wp:inline distT="0" distB="0" distL="0" distR="0">
            <wp:extent cx="4724400" cy="6049645"/>
            <wp:effectExtent l="0" t="0" r="0" b="0"/>
            <wp:docPr id="30" name="IM 3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 30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050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40"/>
      <w:pgMar w:top="1431" w:right="1785" w:bottom="0" w:left="1785" w:header="0" w:footer="0" w:gutter="0"/>
      <w:cols w:space="720" w:num="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displayBackgroundShape w:val="1"/>
  <w:documentProtection w:enforcement="0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useFELayout/>
    <w:compatSetting w:name="compatibilityMode" w:uri="http://schemas.microsoft.com/office/word" w:val="14"/>
  </w:compat>
  <w:rsids>
    <w:rsidRoot w:val="00000000"/>
    <w:rsid w:val="01BE7B39"/>
    <w:rsid w:val="03964FBF"/>
    <w:rsid w:val="1B354198"/>
    <w:rsid w:val="21E91608"/>
    <w:rsid w:val="4FEE3545"/>
    <w:rsid w:val="575349FF"/>
    <w:rsid w:val="6B0845B4"/>
    <w:rsid w:val="6DE562F1"/>
    <w:rsid w:val="6E6C1E9F"/>
    <w:rsid w:val="7A0F3FB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="Arial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rPr>
      <w:rFonts w:ascii="仿宋" w:hAnsi="仿宋" w:eastAsia="仿宋" w:cs="仿宋"/>
      <w:sz w:val="28"/>
      <w:szCs w:val="28"/>
      <w:lang w:val="en-US" w:eastAsia="en-US" w:bidi="ar-SA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4" Type="http://schemas.openxmlformats.org/officeDocument/2006/relationships/fontTable" Target="fontTable.xml"/><Relationship Id="rId23" Type="http://schemas.openxmlformats.org/officeDocument/2006/relationships/image" Target="media/image18.png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11</Pages>
  <Words>1440</Words>
  <Characters>1612</Characters>
  <TotalTime>15</TotalTime>
  <ScaleCrop>false</ScaleCrop>
  <LinksUpToDate>false</LinksUpToDate>
  <CharactersWithSpaces>1668</CharactersWithSpaces>
  <Application>WPS Office_12.1.0.25225_F1E327BC-269C-435d-A152-05C5408002CA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2025-05-12T11:52:00Z</dcterms:created>
  <dc:creator>temir</dc:creator>
  <cp:lastModifiedBy>temir</cp:lastModifiedBy>
  <dcterms:modified xsi:type="dcterms:W3CDTF">2026-03-20T17:02:21Z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wqlLaW5nc29mdCBQREYgdG8gV1BTIDExNQ</vt:lpwstr>
  </property>
  <property fmtid="{D5CDD505-2E9C-101B-9397-08002B2CF9AE}" pid="3" name="Created">
    <vt:filetime>2026-03-12T21:36:45Z</vt:filetime>
  </property>
  <property fmtid="{D5CDD505-2E9C-101B-9397-08002B2CF9AE}" pid="4" name="KSOTemplateDocerSaveRecord">
    <vt:lpwstr>eyJoZGlkIjoiYjNhNWJhZmY0NTIxNzdmMTg3M2FiNjJiZjdiZDU2ZmUiLCJ1c2VySWQiOiI4OTk1MzMxODAifQ==</vt:lpwstr>
  </property>
  <property fmtid="{D5CDD505-2E9C-101B-9397-08002B2CF9AE}" pid="5" name="KSOProductBuildVer">
    <vt:lpwstr>2052-12.1.0.25225</vt:lpwstr>
  </property>
  <property fmtid="{D5CDD505-2E9C-101B-9397-08002B2CF9AE}" pid="6" name="ICV">
    <vt:lpwstr>72188ED2200C4B9F904204CB32C9E190_13</vt:lpwstr>
  </property>
</Properties>
</file>