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imes New Roman" w:hAnsi="Times New Roman" w:eastAsia="宋体" w:cs="Times New Roman"/>
          <w:b/>
          <w:bCs w:val="0"/>
          <w:sz w:val="21"/>
          <w:szCs w:val="21"/>
          <w:lang w:val="en-US" w:eastAsia="zh-CN"/>
        </w:rPr>
      </w:pPr>
      <w:r>
        <w:rPr>
          <w:rFonts w:hint="eastAsia" w:ascii="Times New Roman" w:hAnsi="Times New Roman" w:eastAsia="宋体" w:cs="Times New Roman"/>
          <w:b/>
          <w:bCs w:val="0"/>
          <w:sz w:val="21"/>
          <w:szCs w:val="21"/>
          <w:lang w:val="en-US" w:eastAsia="zh-CN"/>
        </w:rPr>
        <w:t>附件3：</w:t>
      </w:r>
    </w:p>
    <w:p>
      <w:pPr>
        <w:spacing w:line="360" w:lineRule="auto"/>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rPr>
        <w:t>三江学院</w:t>
      </w:r>
      <w:r>
        <w:rPr>
          <w:rFonts w:ascii="Times New Roman" w:hAnsi="Times New Roman" w:eastAsia="宋体" w:cs="Times New Roman"/>
          <w:b/>
          <w:sz w:val="32"/>
          <w:szCs w:val="32"/>
        </w:rPr>
        <w:t>202</w:t>
      </w:r>
      <w:r>
        <w:rPr>
          <w:rFonts w:hint="eastAsia" w:ascii="Times New Roman" w:hAnsi="Times New Roman" w:eastAsia="宋体" w:cs="Times New Roman"/>
          <w:b/>
          <w:sz w:val="32"/>
          <w:szCs w:val="32"/>
          <w:lang w:val="en-US" w:eastAsia="zh-CN"/>
        </w:rPr>
        <w:t>3</w:t>
      </w:r>
      <w:r>
        <w:rPr>
          <w:rFonts w:ascii="Times New Roman" w:hAnsi="Times New Roman" w:eastAsia="宋体" w:cs="Times New Roman"/>
          <w:b/>
          <w:sz w:val="32"/>
          <w:szCs w:val="32"/>
        </w:rPr>
        <w:t>-20</w:t>
      </w:r>
      <w:r>
        <w:rPr>
          <w:rFonts w:hint="eastAsia" w:ascii="Times New Roman" w:hAnsi="Times New Roman" w:eastAsia="宋体" w:cs="Times New Roman"/>
          <w:b/>
          <w:sz w:val="32"/>
          <w:szCs w:val="32"/>
          <w:lang w:val="en-US" w:eastAsia="zh-CN"/>
        </w:rPr>
        <w:t>24</w:t>
      </w:r>
      <w:r>
        <w:rPr>
          <w:rFonts w:ascii="Times New Roman" w:hAnsi="Times New Roman" w:eastAsia="宋体" w:cs="Times New Roman"/>
          <w:b/>
          <w:sz w:val="32"/>
          <w:szCs w:val="32"/>
        </w:rPr>
        <w:t>-</w:t>
      </w:r>
      <w:r>
        <w:rPr>
          <w:rFonts w:hint="eastAsia" w:ascii="Times New Roman" w:hAnsi="Times New Roman" w:eastAsia="宋体" w:cs="Times New Roman"/>
          <w:b/>
          <w:sz w:val="32"/>
          <w:szCs w:val="32"/>
          <w:lang w:val="en-US" w:eastAsia="zh-CN"/>
        </w:rPr>
        <w:t>2</w:t>
      </w:r>
      <w:r>
        <w:rPr>
          <w:rFonts w:ascii="Times New Roman" w:hAnsi="Times New Roman" w:eastAsia="宋体" w:cs="Times New Roman"/>
          <w:b/>
          <w:sz w:val="32"/>
          <w:szCs w:val="32"/>
        </w:rPr>
        <w:t>学期创新创业进阶课程</w:t>
      </w:r>
      <w:r>
        <w:rPr>
          <w:rFonts w:hint="eastAsia" w:ascii="Times New Roman" w:hAnsi="Times New Roman" w:eastAsia="宋体" w:cs="Times New Roman"/>
          <w:b/>
          <w:sz w:val="32"/>
          <w:szCs w:val="32"/>
        </w:rPr>
        <w:t>选课指南</w:t>
      </w:r>
    </w:p>
    <w:tbl>
      <w:tblPr>
        <w:tblStyle w:val="8"/>
        <w:tblW w:w="14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8"/>
        <w:gridCol w:w="690"/>
        <w:gridCol w:w="780"/>
        <w:gridCol w:w="1155"/>
        <w:gridCol w:w="1110"/>
        <w:gridCol w:w="1513"/>
        <w:gridCol w:w="1138"/>
        <w:gridCol w:w="1527"/>
        <w:gridCol w:w="3127"/>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7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考核方式</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授课模式</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修课学生类型</w:t>
            </w:r>
          </w:p>
        </w:tc>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选课人数</w:t>
            </w:r>
          </w:p>
        </w:tc>
        <w:tc>
          <w:tcPr>
            <w:tcW w:w="15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教师简介</w:t>
            </w:r>
          </w:p>
        </w:tc>
        <w:tc>
          <w:tcPr>
            <w:tcW w:w="31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带你玩转商业模式</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曾超、施乾信（副教授、副教授）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21"/>
                <w:szCs w:val="21"/>
                <w:u w:val="none"/>
                <w:lang w:val="en-US" w:eastAsia="zh-CN" w:bidi="ar"/>
              </w:rPr>
              <w:t>带你玩转商业模式-0001，3-8周，周一晚，本部L206，曾超；带你玩转商业模式-0002，3-8周，周二晚，本部L203，施乾信；</w:t>
            </w:r>
          </w:p>
        </w:tc>
        <w:tc>
          <w:tcPr>
            <w:tcW w:w="95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课程简介附后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创业营销仿真实训</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董学恒、吴德（</w:t>
            </w:r>
            <w:r>
              <w:rPr>
                <w:rFonts w:hint="eastAsia" w:ascii="宋体" w:hAnsi="宋体" w:eastAsia="宋体" w:cs="宋体"/>
                <w:i w:val="0"/>
                <w:color w:val="000000"/>
                <w:kern w:val="0"/>
                <w:sz w:val="21"/>
                <w:szCs w:val="21"/>
                <w:u w:val="none"/>
                <w:lang w:val="en-US" w:eastAsia="zh-CN" w:bidi="ar"/>
              </w:rPr>
              <w:t>副教授</w:t>
            </w:r>
            <w:r>
              <w:rPr>
                <w:rFonts w:hint="eastAsia" w:ascii="宋体" w:hAnsi="宋体" w:eastAsia="宋体" w:cs="宋体"/>
                <w:i w:val="0"/>
                <w:color w:val="000000"/>
                <w:kern w:val="0"/>
                <w:sz w:val="22"/>
                <w:szCs w:val="22"/>
                <w:u w:val="none"/>
                <w:lang w:val="en-US" w:eastAsia="zh-CN" w:bidi="ar"/>
              </w:rPr>
              <w:t>、副教授）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21"/>
                <w:szCs w:val="21"/>
                <w:u w:val="none"/>
                <w:lang w:val="en-US" w:eastAsia="zh-CN" w:bidi="ar"/>
              </w:rPr>
              <w:t>创业营销仿真实训-0001，3-8周一晚，本部L206，</w:t>
            </w:r>
            <w:r>
              <w:rPr>
                <w:rFonts w:ascii="宋体" w:hAnsi="宋体" w:eastAsia="宋体" w:cs="宋体"/>
                <w:i w:val="0"/>
                <w:iCs w:val="0"/>
                <w:color w:val="000000"/>
                <w:kern w:val="0"/>
                <w:sz w:val="22"/>
                <w:szCs w:val="22"/>
                <w:u w:val="none"/>
                <w:lang w:val="en-US" w:eastAsia="zh-CN" w:bidi="ar"/>
              </w:rPr>
              <w:t>董学恒</w:t>
            </w:r>
            <w:r>
              <w:rPr>
                <w:rFonts w:ascii="宋体" w:hAnsi="宋体" w:eastAsia="宋体" w:cs="宋体"/>
                <w:i w:val="0"/>
                <w:iCs w:val="0"/>
                <w:color w:val="000000"/>
                <w:kern w:val="0"/>
                <w:sz w:val="21"/>
                <w:szCs w:val="21"/>
                <w:u w:val="none"/>
                <w:lang w:val="en-US" w:eastAsia="zh-CN" w:bidi="ar"/>
              </w:rPr>
              <w:t>；创业营销仿真实训0002，3-8周，周二晚，本部 L2</w:t>
            </w:r>
            <w:r>
              <w:rPr>
                <w:rFonts w:hint="eastAsia" w:ascii="宋体" w:hAnsi="宋体" w:eastAsia="宋体" w:cs="宋体"/>
                <w:i w:val="0"/>
                <w:iCs w:val="0"/>
                <w:color w:val="000000"/>
                <w:kern w:val="0"/>
                <w:sz w:val="21"/>
                <w:szCs w:val="21"/>
                <w:u w:val="none"/>
                <w:lang w:val="en-US" w:eastAsia="zh-CN" w:bidi="ar"/>
              </w:rPr>
              <w:t>07</w:t>
            </w:r>
            <w:r>
              <w:rPr>
                <w:rFonts w:ascii="宋体" w:hAnsi="宋体" w:eastAsia="宋体" w:cs="宋体"/>
                <w:i w:val="0"/>
                <w:iCs w:val="0"/>
                <w:color w:val="000000"/>
                <w:kern w:val="0"/>
                <w:sz w:val="21"/>
                <w:szCs w:val="21"/>
                <w:u w:val="none"/>
                <w:lang w:val="en-US" w:eastAsia="zh-CN" w:bidi="ar"/>
              </w:rPr>
              <w:t>，吴德；</w:t>
            </w:r>
          </w:p>
        </w:tc>
        <w:tc>
          <w:tcPr>
            <w:tcW w:w="959" w:type="dxa"/>
            <w:vMerge w:val="continue"/>
            <w:noWrap/>
            <w:vAlign w:val="center"/>
          </w:tcPr>
          <w:p>
            <w:pPr>
              <w:jc w:val="left"/>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大学生创业法律实务</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1"/>
                <w:szCs w:val="21"/>
                <w:lang w:val="en-US" w:eastAsia="zh-CN"/>
              </w:rPr>
              <w:t>8</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1"/>
                <w:szCs w:val="21"/>
                <w:lang w:val="en-US" w:eastAsia="zh-CN"/>
              </w:rPr>
              <w:t>0.5</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1"/>
                <w:szCs w:val="21"/>
                <w:highlight w:val="none"/>
                <w:lang w:val="en-US" w:eastAsia="zh-CN"/>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柏亚琴，副教授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分两批：第3周起至6周，周三9-10节，1127；或第3周起至6周，周五9-10节，1127；</w:t>
            </w:r>
          </w:p>
        </w:tc>
        <w:tc>
          <w:tcPr>
            <w:tcW w:w="959" w:type="dxa"/>
            <w:vMerge w:val="continue"/>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标准化与创新创业</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徐贤，高级实验师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分两批：第3周起至8周，周一晚，1116；或第3周起至8周，周二晚,1116；</w:t>
            </w:r>
          </w:p>
        </w:tc>
        <w:tc>
          <w:tcPr>
            <w:tcW w:w="959" w:type="dxa"/>
            <w:vMerge w:val="continue"/>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创新创业知识产权</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周德军，副教授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第3周起至6周，周六5-6节，1127；或第3周起至6周，周六7-8节，1127；</w:t>
            </w:r>
          </w:p>
        </w:tc>
        <w:tc>
          <w:tcPr>
            <w:tcW w:w="959" w:type="dxa"/>
            <w:vMerge w:val="continue"/>
            <w:noWrap/>
            <w:vAlign w:val="center"/>
          </w:tcPr>
          <w:p>
            <w:pPr>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硬科技产品创新创业十问</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吴正平，副教授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分两批：第3周起至8周，周一晚，1114；或第3周起至8周，周二晚,1114；</w:t>
            </w:r>
          </w:p>
        </w:tc>
        <w:tc>
          <w:tcPr>
            <w:tcW w:w="959" w:type="dxa"/>
            <w:vMerge w:val="continue"/>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艺术鉴赏与市场</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bookmarkStart w:id="0" w:name="_GoBack"/>
            <w:bookmarkEnd w:id="0"/>
            <w:r>
              <w:rPr>
                <w:rFonts w:hint="eastAsia" w:ascii="宋体" w:hAnsi="宋体" w:eastAsia="宋体" w:cs="宋体"/>
                <w:i w:val="0"/>
                <w:color w:val="000000"/>
                <w:kern w:val="0"/>
                <w:sz w:val="21"/>
                <w:szCs w:val="21"/>
                <w:u w:val="none"/>
                <w:lang w:val="en-US" w:eastAsia="zh-CN" w:bidi="ar"/>
              </w:rPr>
              <w:t xml:space="preserve"> </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殷庆广，讲师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第3周起至8周，周一晚，1127；</w:t>
            </w:r>
          </w:p>
        </w:tc>
        <w:tc>
          <w:tcPr>
            <w:tcW w:w="959" w:type="dxa"/>
            <w:vMerge w:val="continue"/>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7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考核方式</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授课模式</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修课学生类型</w:t>
            </w:r>
          </w:p>
        </w:tc>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选课人数</w:t>
            </w:r>
          </w:p>
        </w:tc>
        <w:tc>
          <w:tcPr>
            <w:tcW w:w="15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教师简介</w:t>
            </w:r>
          </w:p>
        </w:tc>
        <w:tc>
          <w:tcPr>
            <w:tcW w:w="31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创新、发明与专利实务</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毛国柱等，天津大学副教授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9</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TRIZ实践与应用</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罗佳，上海复勤商务咨询有限公司项目总监</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highlight w:val="none"/>
                <w:u w:val="none"/>
                <w:lang w:val="en-US" w:eastAsia="zh-CN" w:bidi="ar"/>
              </w:rPr>
              <w:t>脑洞大开背后的创新思维</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冯林，大连理工大学教授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组织行为与领导力</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张向前，华侨大学教授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序号</w:t>
            </w:r>
          </w:p>
        </w:tc>
        <w:tc>
          <w:tcPr>
            <w:tcW w:w="19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课程名称</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学时</w:t>
            </w:r>
          </w:p>
        </w:tc>
        <w:tc>
          <w:tcPr>
            <w:tcW w:w="78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学分</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sz w:val="21"/>
                <w:szCs w:val="21"/>
                <w:highlight w:val="none"/>
              </w:rPr>
              <w:t>考核方式</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授课模式</w:t>
            </w:r>
          </w:p>
        </w:tc>
        <w:tc>
          <w:tcPr>
            <w:tcW w:w="15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修课学生类型</w:t>
            </w:r>
          </w:p>
        </w:tc>
        <w:tc>
          <w:tcPr>
            <w:tcW w:w="11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选课人数</w:t>
            </w:r>
          </w:p>
        </w:tc>
        <w:tc>
          <w:tcPr>
            <w:tcW w:w="15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教师简介</w:t>
            </w:r>
          </w:p>
        </w:tc>
        <w:tc>
          <w:tcPr>
            <w:tcW w:w="312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sz w:val="21"/>
                <w:szCs w:val="21"/>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kern w:val="2"/>
                <w:sz w:val="21"/>
                <w:szCs w:val="21"/>
                <w:lang w:val="en-US" w:eastAsia="zh-CN" w:bidi="ar-SA"/>
              </w:rPr>
              <w:t>12</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人力资源管理：基于创新创业视角</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张向前，华侨大学教授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restart"/>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
                <w:bCs/>
                <w:sz w:val="21"/>
                <w:szCs w:val="21"/>
                <w:lang w:val="en-US" w:eastAsia="zh-CN"/>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sz w:val="21"/>
                <w:szCs w:val="21"/>
                <w:lang w:val="en-US" w:eastAsia="zh-CN"/>
              </w:rPr>
            </w:pPr>
            <w:r>
              <w:rPr>
                <w:rFonts w:hint="eastAsia" w:ascii="宋体" w:hAnsi="宋体" w:eastAsia="宋体" w:cs="宋体"/>
                <w:kern w:val="2"/>
                <w:sz w:val="21"/>
                <w:szCs w:val="21"/>
                <w:lang w:val="en-US" w:eastAsia="zh-CN" w:bidi="ar-SA"/>
              </w:rPr>
              <w:t>13</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highlight w:val="none"/>
                <w:u w:val="none"/>
                <w:lang w:val="en-US" w:eastAsia="zh-CN" w:bidi="ar"/>
              </w:rPr>
              <w:t>职业压力管理</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费俊峰，南京大学副教授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left"/>
              <w:rPr>
                <w:rFonts w:hint="eastAsia" w:ascii="宋体" w:hAnsi="宋体" w:eastAsia="宋体" w:cs="宋体"/>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14</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创新中国</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顾骏等，上海大学教授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情商与智慧人生</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董宇艳，海南师范大学教授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创业人生</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顾晓英等，上海大学教授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19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创业管理实战</w:t>
            </w:r>
          </w:p>
        </w:tc>
        <w:tc>
          <w:tcPr>
            <w:tcW w:w="6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480</w:t>
            </w:r>
          </w:p>
        </w:tc>
        <w:tc>
          <w:tcPr>
            <w:tcW w:w="15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李肖鸣，清华大学创业导师</w:t>
            </w:r>
          </w:p>
        </w:tc>
        <w:tc>
          <w:tcPr>
            <w:tcW w:w="312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21"/>
                <w:szCs w:val="21"/>
                <w:u w:val="none"/>
                <w:lang w:val="en-US" w:eastAsia="zh-CN" w:bidi="ar"/>
              </w:rPr>
              <w:t>第3周起至12周，时间不限</w:t>
            </w:r>
          </w:p>
        </w:tc>
        <w:tc>
          <w:tcPr>
            <w:tcW w:w="959" w:type="dxa"/>
            <w:vMerge w:val="continue"/>
            <w:noWrap/>
            <w:vAlign w:val="center"/>
          </w:tcPr>
          <w:p>
            <w:pPr>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22" w:firstLineChars="200"/>
        <w:jc w:val="left"/>
        <w:textAlignment w:val="auto"/>
        <w:rPr>
          <w:rFonts w:ascii="宋体" w:hAnsi="宋体" w:eastAsia="宋体" w:cs="Times New Roman"/>
          <w:b/>
          <w:szCs w:val="21"/>
        </w:rPr>
      </w:pPr>
      <w:r>
        <w:rPr>
          <w:rFonts w:hint="eastAsia" w:ascii="宋体" w:hAnsi="宋体" w:eastAsia="宋体" w:cs="Times New Roman"/>
          <w:b/>
          <w:szCs w:val="21"/>
        </w:rPr>
        <w:t>面授课程简介：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、《你玩转商业模式》：本课程将带你走进商业模式的世界，了解其妙处和对于创业的作用，为创业路上的你拨开商业模式的迷雾，带你玩转商业模式：一、玩在创新</w:t>
      </w:r>
      <w:r>
        <w:rPr>
          <w:rFonts w:hint="eastAsia" w:ascii="宋体" w:hAnsi="宋体" w:eastAsia="宋体" w:cs="Times New Roman"/>
          <w:szCs w:val="21"/>
          <w:lang w:eastAsia="zh-CN"/>
        </w:rPr>
        <w:t>：</w:t>
      </w:r>
      <w:r>
        <w:rPr>
          <w:rFonts w:hint="eastAsia" w:ascii="宋体" w:hAnsi="宋体" w:eastAsia="宋体" w:cs="Times New Roman"/>
          <w:szCs w:val="21"/>
        </w:rPr>
        <w:t>拒绝冗杂，拒绝枯燥，拒绝传统的授课形式；会用更简单、更活泼，更新颖的方式带你玩转商业模式。二、玩在丰富</w:t>
      </w:r>
      <w:r>
        <w:rPr>
          <w:rFonts w:hint="eastAsia" w:ascii="宋体" w:hAnsi="宋体" w:eastAsia="宋体" w:cs="Times New Roman"/>
          <w:szCs w:val="21"/>
          <w:lang w:eastAsia="zh-CN"/>
        </w:rPr>
        <w:t>：</w:t>
      </w:r>
      <w:r>
        <w:rPr>
          <w:rFonts w:hint="eastAsia" w:ascii="宋体" w:hAnsi="宋体" w:eastAsia="宋体" w:cs="Times New Roman"/>
          <w:szCs w:val="21"/>
        </w:rPr>
        <w:t>典型独特的校内外创业案例、行之有效的商业模式、知名的行业巨头运营解析将会一一呈现；还有生动形象的小视频等你来思考，碰撞出思想的火花</w:t>
      </w:r>
      <w:r>
        <w:rPr>
          <w:rFonts w:hint="eastAsia" w:ascii="宋体" w:hAnsi="宋体" w:eastAsia="宋体" w:cs="Times New Roman"/>
          <w:szCs w:val="21"/>
          <w:lang w:eastAsia="zh-CN"/>
        </w:rPr>
        <w:t>。</w:t>
      </w:r>
      <w:r>
        <w:rPr>
          <w:rFonts w:hint="eastAsia" w:ascii="宋体" w:hAnsi="宋体" w:eastAsia="宋体" w:cs="Times New Roman"/>
          <w:szCs w:val="21"/>
        </w:rPr>
        <w:t>三、玩在思维</w:t>
      </w:r>
      <w:r>
        <w:rPr>
          <w:rFonts w:hint="eastAsia" w:ascii="宋体" w:hAnsi="宋体" w:eastAsia="宋体" w:cs="Times New Roman"/>
          <w:szCs w:val="21"/>
          <w:lang w:eastAsia="zh-CN"/>
        </w:rPr>
        <w:t>：</w:t>
      </w:r>
      <w:r>
        <w:rPr>
          <w:rFonts w:hint="eastAsia" w:ascii="宋体" w:hAnsi="宋体" w:eastAsia="宋体" w:cs="Times New Roman"/>
          <w:szCs w:val="21"/>
        </w:rPr>
        <w:t>大数据、互联网+、资金快速流通的时代潮流汹涌而至，商业模式思维的转变势在必行。穷则变，变则通，通则久，只有不断调整商业模式以适应时代的发展，企业才能在商海中劈波斩浪，踏歌而行。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2、《创业营销仿真实训》：只有实践过，才能深切的感受到创业的不易。《创业营销仿真实训》是一门将专业知识有效地运用到商业实践中的特色鲜明的综合性实践类课程。通过创业营销</w:t>
      </w:r>
      <w:r>
        <w:rPr>
          <w:rFonts w:hint="eastAsia" w:ascii="宋体" w:hAnsi="宋体" w:eastAsia="宋体" w:cs="Times New Roman"/>
          <w:szCs w:val="21"/>
          <w:lang w:val="en-US" w:eastAsia="zh-CN"/>
        </w:rPr>
        <w:t>仿真</w:t>
      </w:r>
      <w:r>
        <w:rPr>
          <w:rFonts w:hint="eastAsia" w:ascii="宋体" w:hAnsi="宋体" w:eastAsia="宋体" w:cs="Times New Roman"/>
          <w:szCs w:val="21"/>
        </w:rPr>
        <w:t>实训，同学们将更好的了解真实企业环境和商业环境，并训练与提升分析决策的能力，提升个人综合素质，从而增强个人的创业能力。本课程采用理论讲授与学生实践相结合的教学方式，以学生实践为主，理论讲授为辅，同时也有提供部分自主学习环节让学生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r>
        <w:rPr>
          <w:rFonts w:hint="eastAsia" w:ascii="宋体" w:hAnsi="宋体" w:eastAsia="宋体" w:cs="宋体"/>
          <w:i w:val="0"/>
          <w:color w:val="000000"/>
          <w:kern w:val="0"/>
          <w:sz w:val="21"/>
          <w:szCs w:val="21"/>
          <w:u w:val="none"/>
          <w:lang w:val="en-US" w:eastAsia="zh-CN" w:bidi="ar"/>
        </w:rPr>
        <w:t>大学生创业法律实务》：</w:t>
      </w:r>
      <w:r>
        <w:rPr>
          <w:rFonts w:hint="eastAsia" w:ascii="宋体" w:hAnsi="宋体" w:eastAsia="宋体" w:cs="Times New Roman"/>
          <w:szCs w:val="21"/>
          <w:lang w:val="en-US" w:eastAsia="zh-CN"/>
        </w:rPr>
        <w:t>在法治社会，创新创业活动离不开法治环境的保障，鼓励大学生创新创业，离不开法律素养的培养，只有尊法守法、知法用法，创新创业事业才能得到长期发展。因此，创新创业者不仅要具备经济、管理等知识，也应重视法律素质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课程以创新创业相关的法律问题为研究对象，注重法律实务能力的培养，提高大学生依法创新创业的意识，降低创新创业法律风险，为创业成功提供保障。本课程采取经典案例与实践结合的教学方法，结合实例讲解创新创业相关法律问题，引导学生在较短的时间里了解和掌握创新创业相关法律基础知识，提升创新创业的法律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4、《</w:t>
      </w:r>
      <w:r>
        <w:rPr>
          <w:rFonts w:hint="eastAsia" w:ascii="宋体" w:hAnsi="宋体" w:eastAsia="宋体" w:cs="宋体"/>
          <w:i w:val="0"/>
          <w:color w:val="000000"/>
          <w:kern w:val="0"/>
          <w:sz w:val="21"/>
          <w:szCs w:val="21"/>
          <w:highlight w:val="none"/>
          <w:u w:val="none"/>
          <w:lang w:val="en-US" w:eastAsia="zh-CN" w:bidi="ar"/>
        </w:rPr>
        <w:t>标准化与创新创业</w:t>
      </w:r>
      <w:r>
        <w:rPr>
          <w:rFonts w:hint="eastAsia" w:ascii="宋体" w:hAnsi="宋体" w:eastAsia="宋体" w:cs="Times New Roman"/>
          <w:szCs w:val="21"/>
          <w:lang w:val="en-US" w:eastAsia="zh-CN"/>
        </w:rPr>
        <w:t>》：</w:t>
      </w:r>
      <w:r>
        <w:rPr>
          <w:rFonts w:hint="eastAsia" w:ascii="宋体" w:hAnsi="宋体" w:eastAsia="宋体" w:cs="Times New Roman"/>
          <w:szCs w:val="21"/>
        </w:rPr>
        <w:t>纵观人类历史，标准一直是推动文明进步、科学技术发展的动力所在。从古代的“车同轨，书同文”，到现代的规模化生产，再到创新驱动发展战略的重要内容，“</w:t>
      </w:r>
      <w:r>
        <w:rPr>
          <w:rFonts w:hint="eastAsia" w:ascii="宋体" w:hAnsi="宋体" w:eastAsia="宋体" w:cs="Times New Roman"/>
          <w:szCs w:val="21"/>
          <w:lang w:val="en-US" w:eastAsia="zh-CN"/>
        </w:rPr>
        <w:t>标准化”已经成为经贸往来的“通行证”，成为科技创新的“发动机”以及产业发展的“引领者”。那么，在现代语境下，怎样的“标准”才符合企业创新发展的规律？怎样的标准才能让产品在市场当中富有竞争力？“标准化＋双创”，该如何最大限度地产生化学反应呢？本课程将从标准化的基本概念、标准化</w:t>
      </w:r>
      <w:r>
        <w:rPr>
          <w:rFonts w:hint="eastAsia" w:ascii="宋体" w:hAnsi="宋体" w:eastAsia="宋体" w:cs="Times New Roman"/>
          <w:szCs w:val="21"/>
        </w:rPr>
        <w:t>发展史、标准种类、技术标准、管理标准等方面入手，介绍标准化与科技进步和现代国际贸易的相关知识。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创新创业知识产权》：以《知识产权强国建设纲要（2021－2035年）》为背景，以创新创业活动及创新成果中的知识产权创造、运用、管理和保护为研究对象，引导学生积极参与创新创业活动，提高学生的创新创业知识产权意识。《创新创业知识产权》通过对创新创业过程中的知识产权基本法律、信息检索与应用、实务工作、经济管理应用和相关的法律问题及其侵权案例等内容的讲述，旨在通过普及创新创业中知识产权的重要性，提高大学生的知识产权保护意识，为有创业愿望的学生提供相应的知识产权方面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6、《</w:t>
      </w:r>
      <w:r>
        <w:rPr>
          <w:rFonts w:hint="eastAsia" w:ascii="宋体" w:hAnsi="宋体" w:eastAsia="宋体" w:cs="宋体"/>
          <w:i w:val="0"/>
          <w:color w:val="000000"/>
          <w:kern w:val="0"/>
          <w:sz w:val="21"/>
          <w:szCs w:val="21"/>
          <w:u w:val="none"/>
          <w:lang w:val="en-US" w:eastAsia="zh-CN" w:bidi="ar"/>
        </w:rPr>
        <w:t>硬科技产品创新创业十问</w:t>
      </w:r>
      <w:r>
        <w:rPr>
          <w:rFonts w:hint="eastAsia" w:ascii="宋体" w:hAnsi="宋体" w:eastAsia="宋体" w:cs="Times New Roman"/>
          <w:szCs w:val="21"/>
          <w:lang w:val="en-US" w:eastAsia="zh-CN"/>
        </w:rPr>
        <w:t>》</w:t>
      </w:r>
      <w:r>
        <w:rPr>
          <w:rFonts w:hint="eastAsia" w:ascii="宋体" w:hAnsi="宋体" w:eastAsia="宋体" w:cs="Times New Roman"/>
          <w:szCs w:val="21"/>
        </w:rPr>
        <w:t>本课程针对当前创新创业大背景下，旨在激发大学生的科技创新意识，提高科技产品竞争力，提升创新创业“产品”质量，适应当前“双创”竞争力。同时作为对接校、省级大学生创新创业活动的指导课程，提高我校大学生整体双创能力和水平。是面向我校所有二年级以上学生，主要针对科技产品的设计方案、工艺流程、产品诉求、商业化方案等各个环节所面临的问题进行讲述和案例解析，突出科技创新的重要性和难点，通过课程讲授促进学生对科技创新创业的理解并提高认识，做到有计划、有规划的进行科技产品创新创业训练和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7</w:t>
      </w:r>
      <w:r>
        <w:rPr>
          <w:rFonts w:hint="eastAsia" w:ascii="宋体" w:hAnsi="宋体" w:eastAsia="宋体" w:cs="Times New Roman"/>
          <w:szCs w:val="21"/>
        </w:rPr>
        <w:t>、</w:t>
      </w:r>
      <w:r>
        <w:rPr>
          <w:rFonts w:hint="eastAsia" w:ascii="宋体" w:hAnsi="宋体" w:eastAsia="宋体" w:cs="Times New Roman"/>
          <w:szCs w:val="21"/>
          <w:lang w:val="en-US" w:eastAsia="zh-CN"/>
        </w:rPr>
        <w:t>《</w:t>
      </w:r>
      <w:r>
        <w:rPr>
          <w:rFonts w:hint="eastAsia" w:ascii="宋体" w:hAnsi="宋体" w:eastAsia="宋体" w:cs="宋体"/>
          <w:i w:val="0"/>
          <w:color w:val="000000"/>
          <w:kern w:val="0"/>
          <w:sz w:val="21"/>
          <w:szCs w:val="21"/>
          <w:u w:val="none"/>
          <w:lang w:val="en-US" w:eastAsia="zh-CN" w:bidi="ar"/>
        </w:rPr>
        <w:t>艺术鉴赏与市场</w:t>
      </w:r>
      <w:r>
        <w:rPr>
          <w:rFonts w:hint="eastAsia" w:ascii="宋体" w:hAnsi="宋体" w:eastAsia="宋体" w:cs="Times New Roman"/>
          <w:szCs w:val="21"/>
          <w:lang w:val="en-US" w:eastAsia="zh-CN"/>
        </w:rPr>
        <w:t>》：课程重点是通过对中国美术史、书法史历代经典书画的认识和分析，初步掌握中国传统书画的时代特征和个人笔墨特色。对历代画派、书派的共性和个性有基本的了解。对艺术自我学习有一点的认识和方法。详细分析鉴赏艺术品的步骤和流程， 初步掌握鉴赏艺术品的方法和评估标准。对艺术鉴藏史有一定的认识。对艺术品一级市场画廊、艺术博览会、展览及策划等详细介绍，对二级市场拍卖做具体讲解，了解当下艺术品市场的状况和未来前景。通过整个课程，提高学生对艺术品和艺术市场的认识，对个人及社会美育的建设起到积极作用。</w:t>
      </w: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GY3MzE0MDcxMWVlMTY0MGE5YzAxMGYzMmI4ZWEifQ=="/>
  </w:docVars>
  <w:rsids>
    <w:rsidRoot w:val="00B418C0"/>
    <w:rsid w:val="000C3D9C"/>
    <w:rsid w:val="000E48E1"/>
    <w:rsid w:val="00113367"/>
    <w:rsid w:val="00122D5D"/>
    <w:rsid w:val="00123E35"/>
    <w:rsid w:val="00150B5D"/>
    <w:rsid w:val="00157497"/>
    <w:rsid w:val="001620F2"/>
    <w:rsid w:val="001842A5"/>
    <w:rsid w:val="00185BDF"/>
    <w:rsid w:val="00203D84"/>
    <w:rsid w:val="00235CDB"/>
    <w:rsid w:val="0023634F"/>
    <w:rsid w:val="002440AD"/>
    <w:rsid w:val="00284763"/>
    <w:rsid w:val="00293A09"/>
    <w:rsid w:val="00371B3F"/>
    <w:rsid w:val="00391735"/>
    <w:rsid w:val="003F4576"/>
    <w:rsid w:val="00404444"/>
    <w:rsid w:val="00443508"/>
    <w:rsid w:val="00453F2B"/>
    <w:rsid w:val="004567A6"/>
    <w:rsid w:val="004627F2"/>
    <w:rsid w:val="00493ACF"/>
    <w:rsid w:val="004C215D"/>
    <w:rsid w:val="004E759A"/>
    <w:rsid w:val="004F2275"/>
    <w:rsid w:val="00500E37"/>
    <w:rsid w:val="005023BF"/>
    <w:rsid w:val="0050296A"/>
    <w:rsid w:val="00502C71"/>
    <w:rsid w:val="00521DE4"/>
    <w:rsid w:val="00526651"/>
    <w:rsid w:val="00652AE7"/>
    <w:rsid w:val="0067368B"/>
    <w:rsid w:val="00684607"/>
    <w:rsid w:val="006A7E04"/>
    <w:rsid w:val="006C6763"/>
    <w:rsid w:val="006F6C0F"/>
    <w:rsid w:val="006F7024"/>
    <w:rsid w:val="0073629C"/>
    <w:rsid w:val="00737B89"/>
    <w:rsid w:val="00773CC1"/>
    <w:rsid w:val="00780E3E"/>
    <w:rsid w:val="007F1897"/>
    <w:rsid w:val="00890B73"/>
    <w:rsid w:val="00913249"/>
    <w:rsid w:val="00976423"/>
    <w:rsid w:val="00A00233"/>
    <w:rsid w:val="00A12063"/>
    <w:rsid w:val="00A224DD"/>
    <w:rsid w:val="00A27683"/>
    <w:rsid w:val="00AD6455"/>
    <w:rsid w:val="00B00C79"/>
    <w:rsid w:val="00B02BFD"/>
    <w:rsid w:val="00B418C0"/>
    <w:rsid w:val="00B50BDD"/>
    <w:rsid w:val="00B52665"/>
    <w:rsid w:val="00B83260"/>
    <w:rsid w:val="00B857CA"/>
    <w:rsid w:val="00B85A0D"/>
    <w:rsid w:val="00BA1B46"/>
    <w:rsid w:val="00BA470B"/>
    <w:rsid w:val="00C22490"/>
    <w:rsid w:val="00C35038"/>
    <w:rsid w:val="00C57DE4"/>
    <w:rsid w:val="00C80A46"/>
    <w:rsid w:val="00CA245D"/>
    <w:rsid w:val="00D00CAA"/>
    <w:rsid w:val="00D02E59"/>
    <w:rsid w:val="00D2387C"/>
    <w:rsid w:val="00D32AFD"/>
    <w:rsid w:val="00D619AC"/>
    <w:rsid w:val="00D94A55"/>
    <w:rsid w:val="00DA1113"/>
    <w:rsid w:val="00DA6D88"/>
    <w:rsid w:val="00DF6B0B"/>
    <w:rsid w:val="00E30FCD"/>
    <w:rsid w:val="00EC0756"/>
    <w:rsid w:val="00EE2133"/>
    <w:rsid w:val="00EF2973"/>
    <w:rsid w:val="010D427B"/>
    <w:rsid w:val="018311F7"/>
    <w:rsid w:val="024A166E"/>
    <w:rsid w:val="02906F2B"/>
    <w:rsid w:val="034F638D"/>
    <w:rsid w:val="039609ED"/>
    <w:rsid w:val="059C797B"/>
    <w:rsid w:val="0633208D"/>
    <w:rsid w:val="074F2218"/>
    <w:rsid w:val="07C60A9B"/>
    <w:rsid w:val="0819401A"/>
    <w:rsid w:val="08AA23AF"/>
    <w:rsid w:val="08F23F3D"/>
    <w:rsid w:val="09BE31D6"/>
    <w:rsid w:val="0AB468EF"/>
    <w:rsid w:val="0BEB3B80"/>
    <w:rsid w:val="0C28640C"/>
    <w:rsid w:val="0C5F7AB8"/>
    <w:rsid w:val="0C727D71"/>
    <w:rsid w:val="0EAC50D3"/>
    <w:rsid w:val="0EB36461"/>
    <w:rsid w:val="0F9A549E"/>
    <w:rsid w:val="10AD7C51"/>
    <w:rsid w:val="114A0BD3"/>
    <w:rsid w:val="11A01308"/>
    <w:rsid w:val="11A23960"/>
    <w:rsid w:val="124116FF"/>
    <w:rsid w:val="128B4FFF"/>
    <w:rsid w:val="130F2C4F"/>
    <w:rsid w:val="14043DC8"/>
    <w:rsid w:val="14427CAF"/>
    <w:rsid w:val="16F22390"/>
    <w:rsid w:val="185D4A8E"/>
    <w:rsid w:val="18B87EF3"/>
    <w:rsid w:val="19287A4C"/>
    <w:rsid w:val="19A17B04"/>
    <w:rsid w:val="1A1D0C33"/>
    <w:rsid w:val="1A3F0E85"/>
    <w:rsid w:val="1A756CC1"/>
    <w:rsid w:val="1AEB0A60"/>
    <w:rsid w:val="1BCED0E8"/>
    <w:rsid w:val="1CB6711D"/>
    <w:rsid w:val="1CC40EB7"/>
    <w:rsid w:val="1D704CEF"/>
    <w:rsid w:val="1EE91A2B"/>
    <w:rsid w:val="1F397FE3"/>
    <w:rsid w:val="1F7A6B27"/>
    <w:rsid w:val="1F983512"/>
    <w:rsid w:val="201D32EA"/>
    <w:rsid w:val="20C4339D"/>
    <w:rsid w:val="235136DF"/>
    <w:rsid w:val="25E66E6D"/>
    <w:rsid w:val="25FE400E"/>
    <w:rsid w:val="267C153B"/>
    <w:rsid w:val="26E872BE"/>
    <w:rsid w:val="27A24E6D"/>
    <w:rsid w:val="28F06A79"/>
    <w:rsid w:val="2A7F5142"/>
    <w:rsid w:val="2C25655E"/>
    <w:rsid w:val="2D982BE6"/>
    <w:rsid w:val="2E3D5BF8"/>
    <w:rsid w:val="2E920747"/>
    <w:rsid w:val="2EC36A8B"/>
    <w:rsid w:val="2F7215C9"/>
    <w:rsid w:val="2FC869A5"/>
    <w:rsid w:val="324F50EB"/>
    <w:rsid w:val="32972257"/>
    <w:rsid w:val="32F16859"/>
    <w:rsid w:val="336353D4"/>
    <w:rsid w:val="34E7287E"/>
    <w:rsid w:val="351A37BC"/>
    <w:rsid w:val="3566572C"/>
    <w:rsid w:val="35A75829"/>
    <w:rsid w:val="35CC0185"/>
    <w:rsid w:val="3623361D"/>
    <w:rsid w:val="36B349A1"/>
    <w:rsid w:val="379E73FF"/>
    <w:rsid w:val="382D39E3"/>
    <w:rsid w:val="385E26EA"/>
    <w:rsid w:val="39BC1DBE"/>
    <w:rsid w:val="3B6224F2"/>
    <w:rsid w:val="3DA53404"/>
    <w:rsid w:val="40E10DD0"/>
    <w:rsid w:val="416C3200"/>
    <w:rsid w:val="425310FF"/>
    <w:rsid w:val="42992F58"/>
    <w:rsid w:val="434A043B"/>
    <w:rsid w:val="436B5AC4"/>
    <w:rsid w:val="44AB6474"/>
    <w:rsid w:val="44F24F74"/>
    <w:rsid w:val="453F7283"/>
    <w:rsid w:val="45D487EA"/>
    <w:rsid w:val="45E33D39"/>
    <w:rsid w:val="46A71700"/>
    <w:rsid w:val="4729480B"/>
    <w:rsid w:val="473464C0"/>
    <w:rsid w:val="47530006"/>
    <w:rsid w:val="47FB3F77"/>
    <w:rsid w:val="482F3372"/>
    <w:rsid w:val="48CA4173"/>
    <w:rsid w:val="4A914BA1"/>
    <w:rsid w:val="4ABF03D2"/>
    <w:rsid w:val="4BEA2C31"/>
    <w:rsid w:val="4C6B4277"/>
    <w:rsid w:val="4D0D365B"/>
    <w:rsid w:val="4D724FF9"/>
    <w:rsid w:val="4E423FA0"/>
    <w:rsid w:val="4E463611"/>
    <w:rsid w:val="50727637"/>
    <w:rsid w:val="5077544A"/>
    <w:rsid w:val="50DE21C3"/>
    <w:rsid w:val="52385332"/>
    <w:rsid w:val="527E544F"/>
    <w:rsid w:val="52BA6D6A"/>
    <w:rsid w:val="52CD24EF"/>
    <w:rsid w:val="53DA1367"/>
    <w:rsid w:val="54A4659A"/>
    <w:rsid w:val="552D54C7"/>
    <w:rsid w:val="567D1217"/>
    <w:rsid w:val="569849D5"/>
    <w:rsid w:val="56F44137"/>
    <w:rsid w:val="5A252C10"/>
    <w:rsid w:val="5B392E17"/>
    <w:rsid w:val="5B5C6B06"/>
    <w:rsid w:val="5C4D7978"/>
    <w:rsid w:val="5C5A1297"/>
    <w:rsid w:val="5C9347A9"/>
    <w:rsid w:val="5CEB6B03"/>
    <w:rsid w:val="5D81559B"/>
    <w:rsid w:val="5DE17D3B"/>
    <w:rsid w:val="5E3B16C8"/>
    <w:rsid w:val="5E477A9E"/>
    <w:rsid w:val="5E614183"/>
    <w:rsid w:val="5E6C307C"/>
    <w:rsid w:val="5F963A0C"/>
    <w:rsid w:val="60784C6E"/>
    <w:rsid w:val="60897095"/>
    <w:rsid w:val="61070347"/>
    <w:rsid w:val="61E55B51"/>
    <w:rsid w:val="636F5392"/>
    <w:rsid w:val="642B6C1D"/>
    <w:rsid w:val="64436AB5"/>
    <w:rsid w:val="64C71494"/>
    <w:rsid w:val="659C3589"/>
    <w:rsid w:val="683C3F47"/>
    <w:rsid w:val="6A5437CA"/>
    <w:rsid w:val="6D1A1DE7"/>
    <w:rsid w:val="6D922E12"/>
    <w:rsid w:val="6DF80910"/>
    <w:rsid w:val="6ED9312C"/>
    <w:rsid w:val="6F114EE2"/>
    <w:rsid w:val="6FE0340A"/>
    <w:rsid w:val="704566A3"/>
    <w:rsid w:val="705F72BC"/>
    <w:rsid w:val="70732A1D"/>
    <w:rsid w:val="7115311C"/>
    <w:rsid w:val="72E66EF9"/>
    <w:rsid w:val="740D72C6"/>
    <w:rsid w:val="75972C85"/>
    <w:rsid w:val="75FB4EB7"/>
    <w:rsid w:val="778717B9"/>
    <w:rsid w:val="77AB69F3"/>
    <w:rsid w:val="79257CFC"/>
    <w:rsid w:val="7A341C3D"/>
    <w:rsid w:val="7AFE37B1"/>
    <w:rsid w:val="7B3B008E"/>
    <w:rsid w:val="7B71585E"/>
    <w:rsid w:val="7DCF09B7"/>
    <w:rsid w:val="7E9170BD"/>
    <w:rsid w:val="7EAC07CD"/>
    <w:rsid w:val="7EAD14E3"/>
    <w:rsid w:val="7EF00376"/>
    <w:rsid w:val="7FCB4CD0"/>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860B-A4EA-43DE-8D9E-406DE9B83C3B}">
  <ds:schemaRefs/>
</ds:datastoreItem>
</file>

<file path=docProps/app.xml><?xml version="1.0" encoding="utf-8"?>
<Properties xmlns="http://schemas.openxmlformats.org/officeDocument/2006/extended-properties" xmlns:vt="http://schemas.openxmlformats.org/officeDocument/2006/docPropsVTypes">
  <Template>Normal</Template>
  <Company>MS</Company>
  <TotalTime>3</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warsaw</dc:creator>
  <cp:lastModifiedBy>张珍</cp:lastModifiedBy>
  <cp:lastPrinted>2020-08-28T07:51:00Z</cp:lastPrinted>
  <dcterms:modified xsi:type="dcterms:W3CDTF">2024-02-20T09:29:02Z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AA9E8D1246BB4D9D998D7E449D9BB1A2_13</vt:lpwstr>
  </property>
</Properties>
</file>