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hint="default" w:ascii="Arial" w:hAnsi="Arial" w:eastAsia="黑体" w:cs="Arial"/>
          <w:color w:val="auto"/>
          <w:sz w:val="32"/>
          <w:szCs w:val="32"/>
          <w:lang w:val="en-US" w:eastAsia="zh-CN"/>
        </w:rPr>
      </w:pPr>
      <w:r>
        <w:rPr>
          <w:rFonts w:hint="eastAsia" w:ascii="Arial" w:hAnsi="Arial" w:eastAsia="黑体" w:cs="Arial"/>
          <w:color w:val="auto"/>
          <w:sz w:val="32"/>
          <w:szCs w:val="32"/>
          <w:lang w:val="en-US" w:eastAsia="zh-CN"/>
        </w:rPr>
        <w:t xml:space="preserve">  </w:t>
      </w:r>
    </w:p>
    <w:p>
      <w:pPr>
        <w:snapToGrid w:val="0"/>
        <w:spacing w:line="360" w:lineRule="auto"/>
        <w:rPr>
          <w:rFonts w:hint="default" w:ascii="Arial" w:hAnsi="Arial" w:eastAsia="黑体" w:cs="Arial"/>
          <w:color w:val="auto"/>
          <w:sz w:val="32"/>
          <w:szCs w:val="32"/>
        </w:rPr>
      </w:pPr>
      <w:r>
        <w:rPr>
          <w:rFonts w:hint="default" w:ascii="Arial" w:hAnsi="Arial" w:eastAsia="黑体" w:cs="Arial"/>
          <w:color w:val="auto"/>
          <w:sz w:val="32"/>
          <w:szCs w:val="32"/>
        </w:rPr>
        <w:t>附件1</w:t>
      </w:r>
    </w:p>
    <w:p>
      <w:pPr>
        <w:spacing w:line="360" w:lineRule="auto"/>
        <w:rPr>
          <w:rFonts w:hint="default" w:ascii="Arial" w:hAnsi="Arial" w:eastAsia="楷体_GB2312" w:cs="Arial"/>
          <w:color w:val="auto"/>
          <w:sz w:val="32"/>
          <w:szCs w:val="22"/>
        </w:rPr>
      </w:pPr>
      <w:r>
        <w:rPr>
          <w:rFonts w:hint="default" w:ascii="Arial" w:hAnsi="Arial" w:eastAsia="黑体" w:cs="Arial"/>
          <w:color w:val="auto"/>
          <w:sz w:val="28"/>
          <w:szCs w:val="28"/>
        </w:rPr>
        <w:t>品牌专业序号</w:t>
      </w:r>
      <w:r>
        <w:rPr>
          <w:rFonts w:hint="default" w:ascii="Arial" w:hAnsi="Arial" w:cs="Arial"/>
          <w:color w:val="auto"/>
          <w:sz w:val="28"/>
          <w:szCs w:val="28"/>
        </w:rPr>
        <w:t>：PPZY2015</w:t>
      </w:r>
      <w:r>
        <w:rPr>
          <w:rFonts w:hint="default" w:ascii="Arial" w:hAnsi="Arial" w:eastAsia="楷体_GB2312" w:cs="Arial"/>
          <w:color w:val="auto"/>
          <w:sz w:val="32"/>
          <w:szCs w:val="22"/>
          <w:u w:val="single"/>
        </w:rPr>
        <w:t>A033</w:t>
      </w:r>
      <w:r>
        <w:rPr>
          <w:rFonts w:hint="default" w:ascii="Arial" w:hAnsi="Arial" w:eastAsia="楷体_GB2312" w:cs="Arial"/>
          <w:color w:val="auto"/>
          <w:sz w:val="32"/>
          <w:szCs w:val="22"/>
        </w:rPr>
        <w:t xml:space="preserve">                 </w:t>
      </w:r>
      <w:r>
        <w:rPr>
          <w:rFonts w:hint="default" w:ascii="Arial" w:hAnsi="Arial" w:eastAsia="黑体" w:cs="Arial"/>
          <w:color w:val="auto"/>
          <w:sz w:val="28"/>
          <w:szCs w:val="28"/>
        </w:rPr>
        <w:t>建设类型：</w:t>
      </w:r>
      <w:r>
        <w:rPr>
          <w:rFonts w:hint="default" w:ascii="Arial" w:hAnsi="Arial" w:eastAsia="楷体_GB2312" w:cs="Arial"/>
          <w:color w:val="auto"/>
          <w:sz w:val="32"/>
        </w:rPr>
        <w:t>A</w:t>
      </w:r>
      <w:r>
        <w:rPr>
          <w:rFonts w:hint="default" w:ascii="Arial" w:hAnsi="Arial" w:eastAsia="楷体" w:cs="Arial"/>
          <w:color w:val="auto"/>
          <w:sz w:val="28"/>
          <w:szCs w:val="28"/>
        </w:rPr>
        <w:sym w:font="Wingdings 2" w:char="F052"/>
      </w:r>
      <w:r>
        <w:rPr>
          <w:rFonts w:hint="default" w:ascii="Arial" w:hAnsi="Arial" w:eastAsia="楷体_GB2312" w:cs="Arial"/>
          <w:color w:val="auto"/>
          <w:sz w:val="32"/>
        </w:rPr>
        <w:t>B</w:t>
      </w:r>
      <w:r>
        <w:rPr>
          <w:rFonts w:hint="default" w:ascii="Arial" w:hAnsi="Arial" w:eastAsia="楷体_GB2312" w:cs="Arial"/>
          <w:color w:val="auto"/>
          <w:sz w:val="32"/>
          <w:szCs w:val="28"/>
        </w:rPr>
        <w:t>□</w:t>
      </w:r>
      <w:r>
        <w:rPr>
          <w:rFonts w:hint="default" w:ascii="Arial" w:hAnsi="Arial" w:eastAsia="楷体_GB2312" w:cs="Arial"/>
          <w:color w:val="auto"/>
          <w:sz w:val="32"/>
        </w:rPr>
        <w:t>C</w:t>
      </w:r>
      <w:r>
        <w:rPr>
          <w:rFonts w:hint="default" w:ascii="Arial" w:hAnsi="Arial" w:eastAsia="楷体_GB2312" w:cs="Arial"/>
          <w:color w:val="auto"/>
          <w:sz w:val="32"/>
          <w:szCs w:val="28"/>
        </w:rPr>
        <w:t>□</w:t>
      </w:r>
    </w:p>
    <w:p>
      <w:pPr>
        <w:adjustRightInd w:val="0"/>
        <w:snapToGrid w:val="0"/>
        <w:ind w:left="6640" w:hanging="6640" w:hangingChars="2075"/>
        <w:rPr>
          <w:rFonts w:hint="default" w:ascii="Arial" w:hAnsi="Arial" w:eastAsia="仿宋_GB2312" w:cs="Arial"/>
          <w:color w:val="auto"/>
          <w:sz w:val="32"/>
          <w:szCs w:val="32"/>
        </w:rPr>
      </w:pPr>
    </w:p>
    <w:p>
      <w:pPr>
        <w:snapToGrid w:val="0"/>
        <w:spacing w:line="360" w:lineRule="auto"/>
        <w:rPr>
          <w:rFonts w:hint="default" w:ascii="Arial" w:hAnsi="Arial" w:eastAsia="仿宋_GB2312" w:cs="Arial"/>
          <w:color w:val="auto"/>
          <w:sz w:val="32"/>
          <w:szCs w:val="32"/>
        </w:rPr>
      </w:pPr>
    </w:p>
    <w:p>
      <w:pPr>
        <w:adjustRightInd w:val="0"/>
        <w:snapToGrid w:val="0"/>
        <w:spacing w:line="300" w:lineRule="auto"/>
        <w:jc w:val="center"/>
        <w:textAlignment w:val="baseline"/>
        <w:rPr>
          <w:rFonts w:hint="default" w:ascii="Arial" w:hAnsi="Arial" w:eastAsia="华文中宋" w:cs="Arial"/>
          <w:color w:val="auto"/>
          <w:sz w:val="52"/>
          <w:szCs w:val="52"/>
        </w:rPr>
      </w:pPr>
      <w:r>
        <w:rPr>
          <w:rFonts w:hint="default" w:ascii="Arial" w:hAnsi="Arial" w:eastAsia="华文中宋" w:cs="Arial"/>
          <w:color w:val="auto"/>
          <w:sz w:val="52"/>
          <w:szCs w:val="52"/>
        </w:rPr>
        <w:t>江苏高校品牌专业建设工程一期项目</w:t>
      </w:r>
    </w:p>
    <w:p>
      <w:pPr>
        <w:adjustRightInd w:val="0"/>
        <w:snapToGrid w:val="0"/>
        <w:spacing w:line="300" w:lineRule="auto"/>
        <w:jc w:val="center"/>
        <w:textAlignment w:val="baseline"/>
        <w:rPr>
          <w:rFonts w:hint="default" w:ascii="Arial" w:hAnsi="Arial" w:eastAsia="方正大标宋简体" w:cs="Arial"/>
          <w:color w:val="auto"/>
          <w:sz w:val="72"/>
          <w:szCs w:val="72"/>
        </w:rPr>
      </w:pPr>
      <w:r>
        <w:rPr>
          <w:rFonts w:hint="default" w:ascii="Arial" w:hAnsi="Arial" w:eastAsia="华文中宋" w:cs="Arial"/>
          <w:color w:val="auto"/>
          <w:sz w:val="72"/>
          <w:szCs w:val="72"/>
        </w:rPr>
        <w:t>期末报告</w:t>
      </w:r>
    </w:p>
    <w:p>
      <w:pPr>
        <w:adjustRightInd w:val="0"/>
        <w:snapToGrid w:val="0"/>
        <w:jc w:val="center"/>
        <w:textAlignment w:val="baseline"/>
        <w:rPr>
          <w:rFonts w:hint="default" w:ascii="Arial" w:hAnsi="Arial" w:eastAsia="方正大标宋简体" w:cs="Arial"/>
          <w:color w:val="auto"/>
          <w:w w:val="90"/>
          <w:sz w:val="52"/>
          <w:szCs w:val="52"/>
        </w:rPr>
      </w:pPr>
    </w:p>
    <w:p>
      <w:pPr>
        <w:adjustRightInd w:val="0"/>
        <w:snapToGrid w:val="0"/>
        <w:jc w:val="center"/>
        <w:textAlignment w:val="baseline"/>
        <w:rPr>
          <w:rFonts w:hint="default" w:ascii="Arial" w:hAnsi="Arial" w:eastAsia="方正大标宋简体" w:cs="Arial"/>
          <w:color w:val="auto"/>
          <w:sz w:val="52"/>
          <w:szCs w:val="52"/>
        </w:rPr>
      </w:pPr>
    </w:p>
    <w:p>
      <w:pPr>
        <w:adjustRightInd w:val="0"/>
        <w:snapToGrid w:val="0"/>
        <w:spacing w:line="360" w:lineRule="auto"/>
        <w:jc w:val="left"/>
        <w:textAlignment w:val="baseline"/>
        <w:rPr>
          <w:rFonts w:hint="default" w:ascii="Arial" w:hAnsi="Arial" w:eastAsia="方正大标宋简体" w:cs="Arial"/>
          <w:color w:val="auto"/>
          <w:sz w:val="52"/>
          <w:szCs w:val="52"/>
        </w:rPr>
      </w:pPr>
    </w:p>
    <w:tbl>
      <w:tblPr>
        <w:tblStyle w:val="23"/>
        <w:tblW w:w="5580" w:type="dxa"/>
        <w:tblInd w:w="2088" w:type="dxa"/>
        <w:tblLayout w:type="fixed"/>
        <w:tblCellMar>
          <w:top w:w="0" w:type="dxa"/>
          <w:left w:w="108" w:type="dxa"/>
          <w:bottom w:w="0" w:type="dxa"/>
          <w:right w:w="108" w:type="dxa"/>
        </w:tblCellMar>
      </w:tblPr>
      <w:tblGrid>
        <w:gridCol w:w="1980"/>
        <w:gridCol w:w="3600"/>
      </w:tblGrid>
      <w:tr>
        <w:tblPrEx>
          <w:tblLayout w:type="fixed"/>
          <w:tblCellMar>
            <w:top w:w="0" w:type="dxa"/>
            <w:left w:w="108" w:type="dxa"/>
            <w:bottom w:w="0" w:type="dxa"/>
            <w:right w:w="108" w:type="dxa"/>
          </w:tblCellMar>
        </w:tblPrEx>
        <w:trPr>
          <w:trHeight w:val="851" w:hRule="exact"/>
        </w:trPr>
        <w:tc>
          <w:tcPr>
            <w:tcW w:w="1980" w:type="dxa"/>
            <w:vAlign w:val="center"/>
          </w:tcPr>
          <w:p>
            <w:pPr>
              <w:spacing w:line="360" w:lineRule="exact"/>
              <w:rPr>
                <w:rFonts w:hint="default" w:ascii="Arial" w:hAnsi="Arial" w:eastAsia="方正大标宋简体" w:cs="Arial"/>
                <w:color w:val="auto"/>
                <w:sz w:val="52"/>
                <w:szCs w:val="52"/>
              </w:rPr>
            </w:pPr>
            <w:r>
              <w:rPr>
                <w:rFonts w:hint="default" w:ascii="Arial" w:hAnsi="Arial" w:eastAsia="楷体_GB2312" w:cs="Arial"/>
                <w:color w:val="auto"/>
                <w:sz w:val="32"/>
              </w:rPr>
              <w:t>学校名称</w:t>
            </w:r>
          </w:p>
        </w:tc>
        <w:tc>
          <w:tcPr>
            <w:tcW w:w="3600" w:type="dxa"/>
            <w:vAlign w:val="center"/>
          </w:tcPr>
          <w:p>
            <w:pPr>
              <w:spacing w:line="360" w:lineRule="exact"/>
              <w:rPr>
                <w:rFonts w:hint="default" w:ascii="Arial" w:hAnsi="Arial" w:eastAsia="方正大标宋简体" w:cs="Arial"/>
                <w:color w:val="auto"/>
                <w:sz w:val="52"/>
                <w:szCs w:val="52"/>
              </w:rPr>
            </w:pPr>
            <w:r>
              <w:rPr>
                <w:rFonts w:hint="default" w:ascii="Arial" w:hAnsi="Arial" w:eastAsia="楷体_GB2312" w:cs="Arial"/>
                <w:color w:val="auto"/>
                <w:sz w:val="32"/>
                <w:u w:val="single"/>
              </w:rPr>
              <w:t xml:space="preserve">   </w:t>
            </w:r>
            <w:r>
              <w:rPr>
                <w:rFonts w:hint="default" w:ascii="Arial" w:hAnsi="Arial" w:eastAsia="楷体_GB2312" w:cs="Arial"/>
                <w:color w:val="auto"/>
                <w:sz w:val="32"/>
                <w:szCs w:val="22"/>
                <w:u w:val="single"/>
              </w:rPr>
              <w:t>三江学院</w:t>
            </w:r>
            <w:r>
              <w:rPr>
                <w:rFonts w:hint="default" w:ascii="Arial" w:hAnsi="Arial" w:eastAsia="楷体_GB2312" w:cs="Arial"/>
                <w:color w:val="auto"/>
                <w:sz w:val="32"/>
                <w:u w:val="single"/>
              </w:rPr>
              <w:t xml:space="preserve">（盖章） </w:t>
            </w:r>
          </w:p>
        </w:tc>
      </w:tr>
      <w:tr>
        <w:tblPrEx>
          <w:tblLayout w:type="fixed"/>
          <w:tblCellMar>
            <w:top w:w="0" w:type="dxa"/>
            <w:left w:w="108" w:type="dxa"/>
            <w:bottom w:w="0" w:type="dxa"/>
            <w:right w:w="108" w:type="dxa"/>
          </w:tblCellMar>
        </w:tblPrEx>
        <w:trPr>
          <w:trHeight w:val="851" w:hRule="exact"/>
        </w:trPr>
        <w:tc>
          <w:tcPr>
            <w:tcW w:w="1980" w:type="dxa"/>
            <w:vAlign w:val="center"/>
          </w:tcPr>
          <w:p>
            <w:pPr>
              <w:spacing w:line="360" w:lineRule="exact"/>
              <w:rPr>
                <w:rFonts w:hint="default" w:ascii="Arial" w:hAnsi="Arial" w:eastAsia="方正大标宋简体" w:cs="Arial"/>
                <w:color w:val="auto"/>
                <w:sz w:val="52"/>
                <w:szCs w:val="52"/>
              </w:rPr>
            </w:pPr>
            <w:r>
              <w:rPr>
                <w:rFonts w:hint="default" w:ascii="Arial" w:hAnsi="Arial" w:eastAsia="楷体_GB2312" w:cs="Arial"/>
                <w:color w:val="auto"/>
                <w:sz w:val="32"/>
              </w:rPr>
              <w:t>专业类型</w:t>
            </w:r>
          </w:p>
        </w:tc>
        <w:tc>
          <w:tcPr>
            <w:tcW w:w="3600" w:type="dxa"/>
            <w:vAlign w:val="center"/>
          </w:tcPr>
          <w:p>
            <w:pPr>
              <w:spacing w:line="360" w:lineRule="exact"/>
              <w:rPr>
                <w:rFonts w:hint="default" w:ascii="Arial" w:hAnsi="Arial" w:eastAsia="方正大标宋简体" w:cs="Arial"/>
                <w:color w:val="auto"/>
                <w:sz w:val="52"/>
                <w:szCs w:val="52"/>
              </w:rPr>
            </w:pPr>
            <w:r>
              <w:rPr>
                <w:rFonts w:hint="default" w:ascii="Arial" w:hAnsi="Arial" w:eastAsia="楷体" w:cs="Arial"/>
                <w:color w:val="auto"/>
                <w:sz w:val="28"/>
                <w:szCs w:val="28"/>
                <w:u w:val="single"/>
              </w:rPr>
              <w:sym w:font="Wingdings 2" w:char="F052"/>
            </w:r>
            <w:r>
              <w:rPr>
                <w:rFonts w:hint="default" w:ascii="Arial" w:hAnsi="Arial" w:eastAsia="楷体_GB2312" w:cs="Arial"/>
                <w:color w:val="auto"/>
                <w:sz w:val="32"/>
                <w:szCs w:val="28"/>
                <w:u w:val="single"/>
              </w:rPr>
              <w:t>本科     □高职高专</w:t>
            </w:r>
          </w:p>
        </w:tc>
      </w:tr>
      <w:tr>
        <w:tblPrEx>
          <w:tblLayout w:type="fixed"/>
          <w:tblCellMar>
            <w:top w:w="0" w:type="dxa"/>
            <w:left w:w="108" w:type="dxa"/>
            <w:bottom w:w="0" w:type="dxa"/>
            <w:right w:w="108" w:type="dxa"/>
          </w:tblCellMar>
        </w:tblPrEx>
        <w:trPr>
          <w:trHeight w:val="851" w:hRule="exact"/>
        </w:trPr>
        <w:tc>
          <w:tcPr>
            <w:tcW w:w="1980" w:type="dxa"/>
            <w:vAlign w:val="center"/>
          </w:tcPr>
          <w:p>
            <w:pPr>
              <w:spacing w:line="360" w:lineRule="exact"/>
              <w:rPr>
                <w:rFonts w:hint="default" w:ascii="Arial" w:hAnsi="Arial" w:eastAsia="楷体_GB2312" w:cs="Arial"/>
                <w:color w:val="auto"/>
                <w:sz w:val="32"/>
                <w:szCs w:val="22"/>
              </w:rPr>
            </w:pPr>
            <w:r>
              <w:rPr>
                <w:rFonts w:hint="default" w:ascii="Arial" w:hAnsi="Arial" w:eastAsia="楷体_GB2312" w:cs="Arial"/>
                <w:color w:val="auto"/>
                <w:sz w:val="32"/>
              </w:rPr>
              <w:t>专业名称</w:t>
            </w:r>
          </w:p>
        </w:tc>
        <w:tc>
          <w:tcPr>
            <w:tcW w:w="3600" w:type="dxa"/>
            <w:vAlign w:val="center"/>
          </w:tcPr>
          <w:p>
            <w:pPr>
              <w:spacing w:line="360" w:lineRule="exact"/>
              <w:rPr>
                <w:rFonts w:hint="default" w:ascii="Arial" w:hAnsi="Arial" w:eastAsia="楷体_GB2312" w:cs="Arial"/>
                <w:color w:val="auto"/>
                <w:sz w:val="32"/>
                <w:szCs w:val="22"/>
                <w:u w:val="single"/>
              </w:rPr>
            </w:pPr>
            <w:r>
              <w:rPr>
                <w:rFonts w:hint="default" w:ascii="Arial" w:hAnsi="Arial" w:eastAsia="楷体_GB2312" w:cs="Arial"/>
                <w:color w:val="auto"/>
                <w:sz w:val="32"/>
                <w:szCs w:val="22"/>
                <w:u w:val="single"/>
              </w:rPr>
              <w:t xml:space="preserve">    电子信息工程    </w:t>
            </w:r>
          </w:p>
        </w:tc>
      </w:tr>
      <w:tr>
        <w:tblPrEx>
          <w:tblLayout w:type="fixed"/>
          <w:tblCellMar>
            <w:top w:w="0" w:type="dxa"/>
            <w:left w:w="108" w:type="dxa"/>
            <w:bottom w:w="0" w:type="dxa"/>
            <w:right w:w="108" w:type="dxa"/>
          </w:tblCellMar>
        </w:tblPrEx>
        <w:trPr>
          <w:trHeight w:val="851" w:hRule="exact"/>
        </w:trPr>
        <w:tc>
          <w:tcPr>
            <w:tcW w:w="1980" w:type="dxa"/>
            <w:vAlign w:val="center"/>
          </w:tcPr>
          <w:p>
            <w:pPr>
              <w:spacing w:line="360" w:lineRule="exact"/>
              <w:rPr>
                <w:rFonts w:hint="default" w:ascii="Arial" w:hAnsi="Arial" w:eastAsia="楷体_GB2312" w:cs="Arial"/>
                <w:color w:val="auto"/>
                <w:sz w:val="32"/>
                <w:szCs w:val="22"/>
              </w:rPr>
            </w:pPr>
            <w:r>
              <w:rPr>
                <w:rFonts w:hint="default" w:ascii="Arial" w:hAnsi="Arial" w:eastAsia="楷体_GB2312" w:cs="Arial"/>
                <w:color w:val="auto"/>
                <w:sz w:val="32"/>
              </w:rPr>
              <w:t>专业代码</w:t>
            </w:r>
          </w:p>
        </w:tc>
        <w:tc>
          <w:tcPr>
            <w:tcW w:w="3600" w:type="dxa"/>
            <w:vAlign w:val="center"/>
          </w:tcPr>
          <w:p>
            <w:pPr>
              <w:spacing w:line="360" w:lineRule="exact"/>
              <w:rPr>
                <w:rFonts w:hint="default" w:ascii="Arial" w:hAnsi="Arial" w:eastAsia="楷体_GB2312" w:cs="Arial"/>
                <w:color w:val="auto"/>
                <w:sz w:val="32"/>
                <w:szCs w:val="22"/>
              </w:rPr>
            </w:pPr>
            <w:r>
              <w:rPr>
                <w:rFonts w:hint="default" w:ascii="Arial" w:hAnsi="Arial" w:eastAsia="楷体_GB2312" w:cs="Arial"/>
                <w:color w:val="auto"/>
                <w:sz w:val="32"/>
                <w:szCs w:val="22"/>
                <w:u w:val="single"/>
              </w:rPr>
              <w:t xml:space="preserve">       080701       </w:t>
            </w:r>
          </w:p>
        </w:tc>
      </w:tr>
      <w:tr>
        <w:tblPrEx>
          <w:tblLayout w:type="fixed"/>
          <w:tblCellMar>
            <w:top w:w="0" w:type="dxa"/>
            <w:left w:w="108" w:type="dxa"/>
            <w:bottom w:w="0" w:type="dxa"/>
            <w:right w:w="108" w:type="dxa"/>
          </w:tblCellMar>
        </w:tblPrEx>
        <w:trPr>
          <w:trHeight w:val="851" w:hRule="exact"/>
        </w:trPr>
        <w:tc>
          <w:tcPr>
            <w:tcW w:w="1980" w:type="dxa"/>
            <w:vAlign w:val="center"/>
          </w:tcPr>
          <w:p>
            <w:pPr>
              <w:spacing w:line="360" w:lineRule="exact"/>
              <w:rPr>
                <w:rFonts w:hint="default" w:ascii="Arial" w:hAnsi="Arial" w:eastAsia="楷体_GB2312" w:cs="Arial"/>
                <w:color w:val="auto"/>
                <w:sz w:val="32"/>
                <w:szCs w:val="22"/>
              </w:rPr>
            </w:pPr>
            <w:r>
              <w:rPr>
                <w:rFonts w:hint="default" w:ascii="Arial" w:hAnsi="Arial" w:eastAsia="楷体_GB2312" w:cs="Arial"/>
                <w:color w:val="auto"/>
                <w:spacing w:val="20"/>
                <w:kern w:val="0"/>
                <w:sz w:val="32"/>
              </w:rPr>
              <w:t>项目负责</w:t>
            </w:r>
            <w:r>
              <w:rPr>
                <w:rFonts w:hint="default" w:ascii="Arial" w:hAnsi="Arial" w:eastAsia="楷体_GB2312" w:cs="Arial"/>
                <w:color w:val="auto"/>
                <w:kern w:val="0"/>
                <w:sz w:val="32"/>
              </w:rPr>
              <w:t>人</w:t>
            </w:r>
          </w:p>
        </w:tc>
        <w:tc>
          <w:tcPr>
            <w:tcW w:w="3600" w:type="dxa"/>
            <w:vAlign w:val="center"/>
          </w:tcPr>
          <w:p>
            <w:pPr>
              <w:adjustRightInd w:val="0"/>
              <w:snapToGrid w:val="0"/>
              <w:spacing w:line="360" w:lineRule="exact"/>
              <w:textAlignment w:val="baseline"/>
              <w:rPr>
                <w:rFonts w:hint="default" w:ascii="Arial" w:hAnsi="Arial" w:eastAsia="楷体_GB2312" w:cs="Arial"/>
                <w:color w:val="auto"/>
                <w:sz w:val="32"/>
                <w:szCs w:val="22"/>
              </w:rPr>
            </w:pPr>
            <w:r>
              <w:rPr>
                <w:rFonts w:hint="default" w:ascii="Arial" w:hAnsi="Arial" w:eastAsia="楷体_GB2312" w:cs="Arial"/>
                <w:color w:val="auto"/>
                <w:sz w:val="32"/>
                <w:szCs w:val="22"/>
                <w:u w:val="single"/>
              </w:rPr>
              <w:t xml:space="preserve">       朱明程       </w:t>
            </w:r>
          </w:p>
        </w:tc>
      </w:tr>
    </w:tbl>
    <w:p>
      <w:pPr>
        <w:adjustRightInd w:val="0"/>
        <w:snapToGrid w:val="0"/>
        <w:jc w:val="center"/>
        <w:textAlignment w:val="baseline"/>
        <w:rPr>
          <w:rFonts w:hint="default" w:ascii="Arial" w:hAnsi="Arial" w:eastAsia="楷体_GB2312" w:cs="Arial"/>
          <w:color w:val="auto"/>
          <w:sz w:val="32"/>
          <w:szCs w:val="22"/>
        </w:rPr>
      </w:pPr>
    </w:p>
    <w:p>
      <w:pPr>
        <w:adjustRightInd w:val="0"/>
        <w:snapToGrid w:val="0"/>
        <w:jc w:val="center"/>
        <w:textAlignment w:val="baseline"/>
        <w:rPr>
          <w:rFonts w:hint="default" w:ascii="Arial" w:hAnsi="Arial" w:eastAsia="楷体_GB2312" w:cs="Arial"/>
          <w:color w:val="auto"/>
          <w:sz w:val="32"/>
        </w:rPr>
      </w:pPr>
    </w:p>
    <w:p>
      <w:pPr>
        <w:adjustRightInd w:val="0"/>
        <w:snapToGrid w:val="0"/>
        <w:jc w:val="center"/>
        <w:textAlignment w:val="baseline"/>
        <w:rPr>
          <w:rFonts w:hint="default" w:ascii="Arial" w:hAnsi="Arial" w:eastAsia="华文中宋" w:cs="Arial"/>
          <w:b/>
          <w:color w:val="auto"/>
          <w:spacing w:val="20"/>
          <w:sz w:val="32"/>
          <w:szCs w:val="32"/>
        </w:rPr>
      </w:pPr>
    </w:p>
    <w:p>
      <w:pPr>
        <w:adjustRightInd w:val="0"/>
        <w:snapToGrid w:val="0"/>
        <w:jc w:val="center"/>
        <w:textAlignment w:val="baseline"/>
        <w:rPr>
          <w:rFonts w:hint="default" w:ascii="Arial" w:hAnsi="Arial" w:eastAsia="华文中宋" w:cs="Arial"/>
          <w:b/>
          <w:color w:val="auto"/>
          <w:spacing w:val="20"/>
          <w:sz w:val="32"/>
          <w:szCs w:val="32"/>
        </w:rPr>
      </w:pPr>
    </w:p>
    <w:p>
      <w:pPr>
        <w:adjustRightInd w:val="0"/>
        <w:snapToGrid w:val="0"/>
        <w:textAlignment w:val="baseline"/>
        <w:rPr>
          <w:rFonts w:hint="default" w:ascii="Arial" w:hAnsi="Arial" w:eastAsia="华文中宋" w:cs="Arial"/>
          <w:b/>
          <w:color w:val="auto"/>
          <w:spacing w:val="20"/>
          <w:sz w:val="32"/>
          <w:szCs w:val="32"/>
        </w:rPr>
      </w:pPr>
    </w:p>
    <w:p>
      <w:pPr>
        <w:adjustRightInd w:val="0"/>
        <w:snapToGrid w:val="0"/>
        <w:jc w:val="center"/>
        <w:textAlignment w:val="baseline"/>
        <w:rPr>
          <w:rFonts w:hint="default" w:ascii="Arial" w:hAnsi="Arial" w:eastAsia="华文中宋" w:cs="Arial"/>
          <w:b/>
          <w:color w:val="auto"/>
          <w:spacing w:val="20"/>
          <w:sz w:val="32"/>
          <w:szCs w:val="32"/>
        </w:rPr>
      </w:pPr>
    </w:p>
    <w:p>
      <w:pPr>
        <w:adjustRightInd w:val="0"/>
        <w:snapToGrid w:val="0"/>
        <w:jc w:val="center"/>
        <w:textAlignment w:val="baseline"/>
        <w:rPr>
          <w:rFonts w:hint="default" w:ascii="Arial" w:hAnsi="Arial" w:eastAsia="华文中宋" w:cs="Arial"/>
          <w:b/>
          <w:color w:val="auto"/>
          <w:spacing w:val="20"/>
          <w:sz w:val="32"/>
          <w:szCs w:val="32"/>
        </w:rPr>
      </w:pPr>
      <w:r>
        <w:rPr>
          <w:rFonts w:hint="default" w:ascii="Arial" w:hAnsi="Arial" w:eastAsia="华文中宋" w:cs="Arial"/>
          <w:b/>
          <w:color w:val="auto"/>
          <w:spacing w:val="20"/>
          <w:sz w:val="32"/>
          <w:szCs w:val="32"/>
        </w:rPr>
        <w:t>江苏省教育厅制</w:t>
      </w:r>
    </w:p>
    <w:p>
      <w:pPr>
        <w:adjustRightInd w:val="0"/>
        <w:snapToGrid w:val="0"/>
        <w:jc w:val="center"/>
        <w:textAlignment w:val="baseline"/>
        <w:rPr>
          <w:rFonts w:hint="default" w:ascii="Arial" w:hAnsi="Arial" w:eastAsia="仿宋_GB2312" w:cs="Arial"/>
          <w:color w:val="auto"/>
          <w:sz w:val="28"/>
          <w:szCs w:val="28"/>
        </w:rPr>
      </w:pPr>
      <w:r>
        <w:rPr>
          <w:rFonts w:hint="default" w:ascii="Arial" w:hAnsi="Arial" w:eastAsia="华文中宋" w:cs="Arial"/>
          <w:b/>
          <w:color w:val="auto"/>
          <w:spacing w:val="20"/>
          <w:sz w:val="32"/>
          <w:szCs w:val="32"/>
        </w:rPr>
        <w:t>2019年5月</w:t>
      </w:r>
    </w:p>
    <w:p>
      <w:pPr>
        <w:widowControl/>
        <w:spacing w:line="360" w:lineRule="auto"/>
        <w:jc w:val="left"/>
        <w:rPr>
          <w:rFonts w:hint="default" w:ascii="Arial" w:hAnsi="Arial" w:eastAsia="仿宋_GB2312" w:cs="Arial"/>
          <w:color w:val="auto"/>
          <w:sz w:val="28"/>
          <w:szCs w:val="28"/>
        </w:rPr>
        <w:sectPr>
          <w:headerReference r:id="rId4" w:type="default"/>
          <w:pgSz w:w="11906" w:h="16838"/>
          <w:pgMar w:top="1134" w:right="1134" w:bottom="1134" w:left="1134" w:header="851" w:footer="992" w:gutter="0"/>
          <w:cols w:space="720" w:num="1"/>
        </w:sectPr>
      </w:pPr>
    </w:p>
    <w:p>
      <w:pPr>
        <w:spacing w:line="320" w:lineRule="atLeast"/>
        <w:jc w:val="center"/>
        <w:rPr>
          <w:rFonts w:hint="default" w:ascii="Arial" w:hAnsi="Arial" w:eastAsia="仿宋_GB2312" w:cs="Arial"/>
          <w:b/>
          <w:color w:val="auto"/>
          <w:sz w:val="36"/>
        </w:rPr>
      </w:pPr>
    </w:p>
    <w:p>
      <w:pPr>
        <w:spacing w:line="320" w:lineRule="atLeast"/>
        <w:jc w:val="center"/>
        <w:rPr>
          <w:rFonts w:hint="default" w:ascii="Arial" w:hAnsi="Arial" w:eastAsia="华文中宋" w:cs="Arial"/>
          <w:b/>
          <w:color w:val="auto"/>
          <w:sz w:val="36"/>
        </w:rPr>
      </w:pPr>
      <w:r>
        <w:rPr>
          <w:rFonts w:hint="default" w:ascii="Arial" w:hAnsi="Arial" w:eastAsia="华文中宋" w:cs="Arial"/>
          <w:b/>
          <w:color w:val="auto"/>
          <w:sz w:val="36"/>
        </w:rPr>
        <w:t>填写说明</w:t>
      </w:r>
    </w:p>
    <w:p>
      <w:pPr>
        <w:snapToGrid w:val="0"/>
        <w:spacing w:line="360" w:lineRule="auto"/>
        <w:ind w:firstLine="539"/>
        <w:rPr>
          <w:rFonts w:hint="default" w:ascii="Arial" w:hAnsi="Arial" w:eastAsia="仿宋_GB2312" w:cs="Arial"/>
          <w:color w:val="auto"/>
          <w:sz w:val="28"/>
          <w:szCs w:val="28"/>
        </w:rPr>
      </w:pPr>
    </w:p>
    <w:p>
      <w:pPr>
        <w:snapToGrid w:val="0"/>
        <w:spacing w:line="360" w:lineRule="auto"/>
        <w:ind w:firstLine="560" w:firstLineChars="200"/>
        <w:rPr>
          <w:rFonts w:hint="default" w:ascii="Arial" w:hAnsi="Arial" w:eastAsia="仿宋_GB2312" w:cs="Arial"/>
          <w:color w:val="auto"/>
          <w:sz w:val="28"/>
          <w:szCs w:val="28"/>
        </w:rPr>
      </w:pPr>
      <w:r>
        <w:rPr>
          <w:rFonts w:hint="default" w:ascii="Arial" w:hAnsi="Arial" w:eastAsia="仿宋_GB2312" w:cs="Arial"/>
          <w:color w:val="auto"/>
          <w:sz w:val="28"/>
          <w:szCs w:val="28"/>
        </w:rPr>
        <w:t>1．填写本《期末报告》要以本专业《项目任务书》为基础，以省教育厅、省财政厅指导性基本项目任务为指导，围绕《项目任务书》中确定的2015年～2018年主要目标任务填写本《期末报告》。</w:t>
      </w:r>
    </w:p>
    <w:p>
      <w:pPr>
        <w:snapToGrid w:val="0"/>
        <w:spacing w:line="360" w:lineRule="auto"/>
        <w:ind w:firstLine="840" w:firstLineChars="300"/>
        <w:rPr>
          <w:rFonts w:hint="default" w:ascii="Arial" w:hAnsi="Arial" w:eastAsia="仿宋_GB2312" w:cs="Arial"/>
          <w:color w:val="auto"/>
          <w:sz w:val="28"/>
          <w:szCs w:val="20"/>
        </w:rPr>
      </w:pPr>
      <w:r>
        <w:rPr>
          <w:rFonts w:hint="default" w:ascii="Arial" w:hAnsi="Arial" w:eastAsia="仿宋_GB2312" w:cs="Arial"/>
          <w:color w:val="auto"/>
          <w:sz w:val="28"/>
          <w:szCs w:val="28"/>
        </w:rPr>
        <w:t>2．本</w:t>
      </w:r>
      <w:r>
        <w:rPr>
          <w:rFonts w:hint="default" w:ascii="Arial" w:hAnsi="Arial" w:eastAsia="仿宋_GB2312" w:cs="Arial"/>
          <w:color w:val="auto"/>
          <w:sz w:val="28"/>
          <w:szCs w:val="20"/>
        </w:rPr>
        <w:t>《</w:t>
      </w:r>
      <w:r>
        <w:rPr>
          <w:rFonts w:hint="default" w:ascii="Arial" w:hAnsi="Arial" w:eastAsia="仿宋_GB2312" w:cs="Arial"/>
          <w:color w:val="auto"/>
          <w:sz w:val="28"/>
          <w:szCs w:val="28"/>
        </w:rPr>
        <w:t>期末报告</w:t>
      </w:r>
      <w:r>
        <w:rPr>
          <w:rFonts w:hint="default" w:ascii="Arial" w:hAnsi="Arial" w:eastAsia="仿宋_GB2312" w:cs="Arial"/>
          <w:color w:val="auto"/>
          <w:sz w:val="28"/>
          <w:szCs w:val="20"/>
        </w:rPr>
        <w:t>》中涉及的论文、专著、专利、科研奖项、教学成果等均指本专业人员署名本单位，并通过合适方式标注“江苏高校品牌专业建设工程资助项目”（英文标志：Top-notch Academic Programs Project of Jiangsu Higher Education Institutions，英文标志简称：TAPP）的成果。</w:t>
      </w:r>
    </w:p>
    <w:p>
      <w:pPr>
        <w:snapToGrid w:val="0"/>
        <w:spacing w:line="360" w:lineRule="auto"/>
        <w:ind w:firstLine="560" w:firstLineChars="200"/>
        <w:rPr>
          <w:rFonts w:hint="default" w:ascii="Arial" w:hAnsi="Arial" w:eastAsia="仿宋_GB2312" w:cs="Arial"/>
          <w:color w:val="auto"/>
          <w:sz w:val="28"/>
          <w:szCs w:val="28"/>
        </w:rPr>
      </w:pPr>
      <w:r>
        <w:rPr>
          <w:rFonts w:hint="default" w:ascii="Arial" w:hAnsi="Arial" w:eastAsia="仿宋_GB2312" w:cs="Arial"/>
          <w:color w:val="auto"/>
          <w:sz w:val="28"/>
          <w:szCs w:val="28"/>
        </w:rPr>
        <w:t>3．本《期末报告》填写内容起止时间为2015年6月8日至2018年12月31日，超出该期限取得的各类成果不纳入统计范围。</w:t>
      </w:r>
    </w:p>
    <w:p>
      <w:pPr>
        <w:snapToGrid w:val="0"/>
        <w:spacing w:line="360" w:lineRule="auto"/>
        <w:ind w:firstLine="560" w:firstLineChars="200"/>
        <w:rPr>
          <w:rFonts w:hint="default" w:ascii="Arial" w:hAnsi="Arial" w:eastAsia="仿宋_GB2312" w:cs="Arial"/>
          <w:color w:val="auto"/>
          <w:sz w:val="28"/>
          <w:szCs w:val="28"/>
        </w:rPr>
      </w:pPr>
      <w:r>
        <w:rPr>
          <w:rFonts w:hint="default" w:ascii="Arial" w:hAnsi="Arial" w:eastAsia="仿宋_GB2312" w:cs="Arial"/>
          <w:color w:val="auto"/>
          <w:sz w:val="28"/>
          <w:szCs w:val="28"/>
        </w:rPr>
        <w:t>4．标志性成果请依据苏教高〔2015〕14号文件中附件2“江苏高校品牌专业建设工程一期项目指导性基本项目任务”中规定的要求填写，Ⅰ代表国际通用标准；Ⅱ代表国家级；Ⅲ代表省级。国际通用标准仅指专业通过国际等效的专业认证，国家级仅指教育部及以上部门所认定成果（项目、奖励、荣誉称号等，下同），省级仅指国家有关部委、省政府、省教育厅所认定成果，且不包括已立项但未结题的课题、已立项但未正式上线的在线开放课程、已立项但未出版（再版）的教材。省教育厅所认定成果，仅指以江苏省教育厅或江苏省教育厅办公室印发的正式文件（如编号为“苏教高”、“苏教办高”等）发文布置或公布结果的项目。任何其他部门、协会、组织的成果均不得作为标志性成果。任何与该品牌专业无关的成果不得列为标志性成果。</w:t>
      </w:r>
    </w:p>
    <w:p>
      <w:pPr>
        <w:snapToGrid w:val="0"/>
        <w:spacing w:line="360" w:lineRule="auto"/>
        <w:ind w:firstLine="560" w:firstLineChars="200"/>
        <w:rPr>
          <w:rFonts w:hint="default" w:ascii="Arial" w:hAnsi="Arial" w:eastAsia="仿宋_GB2312" w:cs="Arial"/>
          <w:color w:val="auto"/>
          <w:sz w:val="28"/>
          <w:szCs w:val="28"/>
        </w:rPr>
      </w:pPr>
      <w:r>
        <w:rPr>
          <w:rFonts w:hint="default" w:ascii="Arial" w:hAnsi="Arial" w:eastAsia="仿宋_GB2312" w:cs="Arial"/>
          <w:color w:val="auto"/>
          <w:sz w:val="28"/>
          <w:szCs w:val="28"/>
        </w:rPr>
        <w:t>5．标志性成果、经费使用情况、分项任务建设内容的相关证明请直接附在期末报告之后，除此之外无需制作其他附件。</w:t>
      </w:r>
    </w:p>
    <w:p>
      <w:pPr>
        <w:snapToGrid w:val="0"/>
        <w:spacing w:line="360" w:lineRule="auto"/>
        <w:ind w:firstLine="539"/>
        <w:rPr>
          <w:rFonts w:hint="default" w:ascii="Arial" w:hAnsi="Arial" w:eastAsia="仿宋_GB2312" w:cs="Arial"/>
          <w:color w:val="auto"/>
          <w:sz w:val="28"/>
          <w:szCs w:val="28"/>
        </w:rPr>
        <w:sectPr>
          <w:pgSz w:w="11907" w:h="16840"/>
          <w:pgMar w:top="1134" w:right="1134" w:bottom="1134" w:left="1134" w:header="720" w:footer="720" w:gutter="0"/>
          <w:cols w:space="720" w:num="1"/>
        </w:sectPr>
      </w:pPr>
      <w:r>
        <w:rPr>
          <w:rFonts w:hint="default" w:ascii="Arial" w:hAnsi="Arial" w:eastAsia="仿宋_GB2312" w:cs="Arial"/>
          <w:color w:val="auto"/>
          <w:sz w:val="28"/>
          <w:szCs w:val="20"/>
        </w:rPr>
        <w:t>6．</w:t>
      </w:r>
      <w:r>
        <w:rPr>
          <w:rFonts w:hint="default" w:ascii="Arial" w:hAnsi="Arial" w:eastAsia="仿宋_GB2312" w:cs="Arial"/>
          <w:color w:val="auto"/>
          <w:sz w:val="28"/>
          <w:szCs w:val="28"/>
        </w:rPr>
        <w:t>文字部分请用小四或五号宋体，栏高不够的栏目可酌情增加栏高。用A4纸正反打印，装订整齐，本《期末报告》封面之上不需另加其它封面，页码数（含相关证明材料）不要超过150页。</w:t>
      </w:r>
    </w:p>
    <w:p>
      <w:pPr>
        <w:pStyle w:val="32"/>
        <w:spacing w:line="360" w:lineRule="auto"/>
        <w:ind w:firstLine="0" w:firstLineChars="0"/>
        <w:jc w:val="left"/>
        <w:rPr>
          <w:rFonts w:hint="default" w:ascii="Arial" w:hAnsi="Arial" w:eastAsia="楷体_GB2312" w:cs="Arial"/>
          <w:color w:val="auto"/>
          <w:sz w:val="24"/>
          <w:szCs w:val="20"/>
        </w:rPr>
      </w:pPr>
      <w:r>
        <w:rPr>
          <w:rFonts w:hint="default" w:ascii="Arial" w:hAnsi="Arial" w:eastAsia="黑体" w:cs="Arial"/>
          <w:b/>
          <w:color w:val="auto"/>
          <w:sz w:val="32"/>
          <w:szCs w:val="32"/>
        </w:rPr>
        <w:t>一、立项建设以来的总体进展情况</w:t>
      </w:r>
    </w:p>
    <w:tbl>
      <w:tblPr>
        <w:tblStyle w:val="23"/>
        <w:tblW w:w="90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5" w:type="dxa"/>
            <w:tcBorders>
              <w:top w:val="single" w:color="auto" w:sz="4" w:space="0"/>
              <w:left w:val="single" w:color="auto" w:sz="4" w:space="0"/>
              <w:bottom w:val="single" w:color="auto" w:sz="4" w:space="0"/>
              <w:right w:val="single" w:color="auto" w:sz="4" w:space="0"/>
            </w:tcBorders>
          </w:tcPr>
          <w:p>
            <w:pPr>
              <w:rPr>
                <w:rFonts w:hint="default" w:ascii="Arial" w:hAnsi="Arial" w:cs="Arial" w:eastAsiaTheme="minorEastAsia"/>
                <w:b/>
                <w:color w:val="auto"/>
                <w:kern w:val="0"/>
                <w:sz w:val="28"/>
                <w:szCs w:val="28"/>
              </w:rPr>
            </w:pPr>
            <w:r>
              <w:rPr>
                <w:rFonts w:hint="default" w:ascii="Arial" w:hAnsi="Arial" w:cs="Arial"/>
                <w:b/>
                <w:color w:val="auto"/>
                <w:sz w:val="28"/>
                <w:szCs w:val="28"/>
              </w:rPr>
              <w:t>1.1总体评价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3" w:hRule="atLeast"/>
          <w:jc w:val="center"/>
        </w:trPr>
        <w:tc>
          <w:tcPr>
            <w:tcW w:w="9065" w:type="dxa"/>
            <w:tcBorders>
              <w:top w:val="single" w:color="auto" w:sz="4" w:space="0"/>
              <w:left w:val="single" w:color="auto" w:sz="4" w:space="0"/>
              <w:bottom w:val="single" w:color="auto" w:sz="4" w:space="0"/>
              <w:right w:val="single" w:color="auto" w:sz="4" w:space="0"/>
            </w:tcBorders>
          </w:tcPr>
          <w:p>
            <w:pPr>
              <w:spacing w:line="360" w:lineRule="auto"/>
              <w:ind w:firstLine="960" w:firstLineChars="400"/>
              <w:jc w:val="left"/>
              <w:rPr>
                <w:rFonts w:hint="default" w:ascii="Arial" w:hAnsi="Arial" w:cs="Arial"/>
                <w:color w:val="auto"/>
                <w:sz w:val="24"/>
                <w:szCs w:val="22"/>
              </w:rPr>
            </w:pPr>
            <w:r>
              <w:rPr>
                <w:rFonts w:hint="default" w:ascii="Arial" w:hAnsi="Arial" w:cs="Arial"/>
                <w:color w:val="auto"/>
                <w:sz w:val="24"/>
              </w:rPr>
              <w:t>□任务完成</w:t>
            </w:r>
          </w:p>
          <w:p>
            <w:pPr>
              <w:spacing w:line="360" w:lineRule="auto"/>
              <w:ind w:firstLine="964" w:firstLineChars="400"/>
              <w:jc w:val="left"/>
              <w:rPr>
                <w:rFonts w:hint="default" w:ascii="Arial" w:hAnsi="Arial" w:cs="Arial"/>
                <w:color w:val="auto"/>
                <w:sz w:val="24"/>
              </w:rPr>
            </w:pPr>
            <w:r>
              <w:rPr>
                <w:rFonts w:hint="default" w:ascii="Arial" w:hAnsi="Arial" w:cs="Arial"/>
                <w:b/>
                <w:bCs/>
                <w:color w:val="auto"/>
                <w:sz w:val="24"/>
              </w:rPr>
              <w:t>□任务基本完成</w:t>
            </w:r>
          </w:p>
          <w:p>
            <w:pPr>
              <w:spacing w:line="360" w:lineRule="auto"/>
              <w:ind w:firstLine="960" w:firstLineChars="400"/>
              <w:jc w:val="left"/>
              <w:rPr>
                <w:rFonts w:hint="default" w:ascii="Arial" w:hAnsi="Arial" w:cs="Arial"/>
                <w:color w:val="auto"/>
                <w:sz w:val="24"/>
              </w:rPr>
            </w:pPr>
            <w:r>
              <w:rPr>
                <w:rFonts w:hint="default" w:ascii="Arial" w:hAnsi="Arial" w:cs="Arial"/>
                <w:color w:val="auto"/>
                <w:sz w:val="24"/>
              </w:rPr>
              <w:t>□任务未完成</w:t>
            </w:r>
          </w:p>
          <w:p>
            <w:pPr>
              <w:spacing w:line="360" w:lineRule="auto"/>
              <w:ind w:firstLine="960" w:firstLineChars="400"/>
              <w:jc w:val="left"/>
              <w:rPr>
                <w:rFonts w:hint="default" w:ascii="Arial" w:hAnsi="Arial" w:cs="Arial"/>
                <w:color w:val="auto"/>
                <w:sz w:val="24"/>
              </w:rPr>
            </w:pPr>
          </w:p>
          <w:p>
            <w:pPr>
              <w:spacing w:line="360" w:lineRule="auto"/>
              <w:ind w:firstLine="960" w:firstLineChars="400"/>
              <w:jc w:val="left"/>
              <w:rPr>
                <w:rFonts w:hint="default" w:ascii="Arial" w:hAnsi="Arial" w:cs="Arial"/>
                <w:color w:val="auto"/>
                <w:sz w:val="24"/>
              </w:rPr>
            </w:pPr>
            <w:r>
              <w:rPr>
                <w:rFonts w:hint="default" w:ascii="Arial" w:hAnsi="Arial" w:cs="Arial"/>
                <w:color w:val="auto"/>
                <w:sz w:val="24"/>
              </w:rPr>
              <w:t>相应理由(不超过200字）：</w:t>
            </w:r>
          </w:p>
          <w:p>
            <w:pPr>
              <w:ind w:right="71" w:rightChars="34" w:firstLine="480" w:firstLineChars="200"/>
              <w:rPr>
                <w:rFonts w:hint="default" w:ascii="Arial" w:hAnsi="Arial" w:eastAsia="仿宋_GB2312" w:cs="Arial"/>
                <w:bCs/>
                <w:color w:val="auto"/>
                <w:sz w:val="24"/>
              </w:rPr>
            </w:pPr>
            <w:r>
              <w:rPr>
                <w:rFonts w:hint="default" w:ascii="Arial" w:hAnsi="Arial" w:eastAsia="仿宋_GB2312" w:cs="Arial"/>
                <w:bCs/>
                <w:color w:val="auto"/>
                <w:sz w:val="24"/>
              </w:rPr>
              <w:t>三江学院各级领导高度重视省级品牌专业建设，对于项目任务书中的主要任务，凡是主观努力可以完成的均已完成；任务书各项细分任务有的超额完成，有的完成，有的基本完成</w:t>
            </w:r>
            <w:r>
              <w:rPr>
                <w:rFonts w:hint="eastAsia" w:ascii="Arial" w:hAnsi="Arial" w:eastAsia="仿宋_GB2312" w:cs="Arial"/>
                <w:bCs/>
                <w:color w:val="auto"/>
                <w:sz w:val="24"/>
                <w:lang w:eastAsia="zh-CN"/>
              </w:rPr>
              <w:t>，</w:t>
            </w:r>
            <w:r>
              <w:rPr>
                <w:rFonts w:hint="eastAsia" w:ascii="Arial" w:hAnsi="Arial" w:eastAsia="仿宋_GB2312" w:cs="Arial"/>
                <w:bCs/>
                <w:color w:val="auto"/>
                <w:sz w:val="24"/>
                <w:lang w:val="en-US" w:eastAsia="zh-CN"/>
              </w:rPr>
              <w:t>个别标志性指标没有完成</w:t>
            </w:r>
            <w:r>
              <w:rPr>
                <w:rFonts w:hint="default" w:ascii="Arial" w:hAnsi="Arial" w:eastAsia="仿宋_GB2312" w:cs="Arial"/>
                <w:bCs/>
                <w:color w:val="auto"/>
                <w:sz w:val="24"/>
              </w:rPr>
              <w:t>；我们始终围绕教学团队建设、教学条件建设、教学课程内涵建设扎实前行，故本品牌专业持续发展的后劲较强。目前主要欠缺在于如省部级以上教学成果奖等的获奖系列的标志性成果因种种原因暂缺，但我们有题材有内涵有信心在下一届评奖时冲刺省部级教学成果奖；另外，虽本品牌专业建设一直坚守以国家工程教育认证的规范在努力，取得长足进展，但由于国家工程教育专业认证至今未向民办大学开放，故暂时无法申报。</w:t>
            </w:r>
          </w:p>
          <w:p>
            <w:pPr>
              <w:outlineLvl w:val="0"/>
              <w:rPr>
                <w:rFonts w:hint="default" w:ascii="Arial" w:hAnsi="Arial" w:cs="Arial"/>
                <w:color w:val="auto"/>
                <w:kern w:val="0"/>
                <w:sz w:val="24"/>
              </w:rPr>
            </w:pPr>
          </w:p>
          <w:p>
            <w:pPr>
              <w:ind w:firstLine="6360" w:firstLineChars="2650"/>
              <w:outlineLvl w:val="0"/>
              <w:rPr>
                <w:rFonts w:hint="default" w:ascii="Arial" w:hAnsi="Arial" w:cs="Arial"/>
                <w:color w:val="auto"/>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5" w:type="dxa"/>
            <w:tcBorders>
              <w:top w:val="single" w:color="auto" w:sz="4" w:space="0"/>
              <w:left w:val="single" w:color="auto" w:sz="4" w:space="0"/>
              <w:bottom w:val="single" w:color="auto" w:sz="4" w:space="0"/>
              <w:right w:val="single" w:color="auto" w:sz="4" w:space="0"/>
            </w:tcBorders>
          </w:tcPr>
          <w:p>
            <w:pPr>
              <w:ind w:right="71" w:rightChars="34"/>
              <w:rPr>
                <w:rFonts w:hint="default" w:ascii="Arial" w:hAnsi="Arial" w:eastAsia="黑体" w:cs="Arial"/>
                <w:color w:val="auto"/>
                <w:sz w:val="28"/>
                <w:szCs w:val="28"/>
              </w:rPr>
            </w:pPr>
            <w:r>
              <w:rPr>
                <w:rFonts w:hint="default" w:ascii="Arial" w:hAnsi="Arial" w:cs="Arial"/>
                <w:b/>
                <w:color w:val="auto"/>
                <w:sz w:val="28"/>
                <w:szCs w:val="28"/>
              </w:rPr>
              <w:t>1.2建设总体概述（不超过5000字）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1" w:hRule="atLeast"/>
          <w:jc w:val="center"/>
        </w:trPr>
        <w:tc>
          <w:tcPr>
            <w:tcW w:w="9065" w:type="dxa"/>
            <w:tcBorders>
              <w:top w:val="single" w:color="auto" w:sz="4" w:space="0"/>
              <w:left w:val="single" w:color="auto" w:sz="4" w:space="0"/>
              <w:bottom w:val="single" w:color="auto" w:sz="4" w:space="0"/>
              <w:right w:val="single" w:color="auto" w:sz="4" w:space="0"/>
            </w:tcBorders>
          </w:tcPr>
          <w:p>
            <w:pPr>
              <w:ind w:right="71" w:rightChars="34"/>
              <w:rPr>
                <w:rFonts w:hint="default" w:ascii="Arial" w:hAnsi="Arial" w:cs="Arial"/>
                <w:b/>
                <w:color w:val="auto"/>
                <w:sz w:val="32"/>
                <w:szCs w:val="32"/>
              </w:rPr>
            </w:pPr>
            <w:r>
              <w:rPr>
                <w:rFonts w:hint="default" w:ascii="Arial" w:hAnsi="Arial" w:cs="Arial"/>
                <w:color w:val="auto"/>
                <w:sz w:val="24"/>
              </w:rPr>
              <w:t>①在立德树人方面取得的显著成绩；②项目总体目标及分项任务进展情况；③本专业整体建设水平与主要优势特色；④举措介绍（校内如何引领、国内如何成为标杆、国际如何具有影响）；⑤资金使用情况；⑦其他需要说明的问题。</w:t>
            </w:r>
          </w:p>
          <w:p>
            <w:pPr>
              <w:pStyle w:val="21"/>
              <w:wordWrap w:val="0"/>
              <w:spacing w:before="120" w:after="120" w:line="252" w:lineRule="auto"/>
              <w:ind w:firstLine="482" w:firstLineChars="200"/>
              <w:rPr>
                <w:rFonts w:hint="default" w:ascii="Arial" w:hAnsi="Arial" w:cs="Arial" w:eastAsiaTheme="minorEastAsia"/>
                <w:b/>
                <w:color w:val="auto"/>
              </w:rPr>
            </w:pPr>
          </w:p>
          <w:p>
            <w:pPr>
              <w:pStyle w:val="21"/>
              <w:wordWrap w:val="0"/>
              <w:spacing w:before="120" w:after="120" w:line="252" w:lineRule="auto"/>
              <w:ind w:firstLine="482" w:firstLineChars="200"/>
              <w:rPr>
                <w:rFonts w:hint="default" w:ascii="Arial" w:hAnsi="Arial" w:cs="Arial" w:eastAsiaTheme="minorEastAsia"/>
                <w:b/>
                <w:color w:val="auto"/>
              </w:rPr>
            </w:pPr>
            <w:r>
              <w:rPr>
                <w:rFonts w:hint="default" w:ascii="Arial" w:hAnsi="Arial" w:cs="Arial" w:eastAsiaTheme="minorEastAsia"/>
                <w:b/>
                <w:color w:val="auto"/>
              </w:rPr>
              <w:t>①在立德树人方面取得的显著成绩</w:t>
            </w:r>
          </w:p>
          <w:p>
            <w:pPr>
              <w:pStyle w:val="21"/>
              <w:keepNext w:val="0"/>
              <w:keepLines w:val="0"/>
              <w:pageBreakBefore w:val="0"/>
              <w:widowControl/>
              <w:kinsoku/>
              <w:wordWrap w:val="0"/>
              <w:overflowPunct/>
              <w:topLinePunct w:val="0"/>
              <w:autoSpaceDE/>
              <w:autoSpaceDN/>
              <w:bidi w:val="0"/>
              <w:adjustRightInd/>
              <w:snapToGrid/>
              <w:spacing w:before="120" w:after="120" w:line="300" w:lineRule="auto"/>
              <w:ind w:left="0" w:leftChars="0" w:right="0" w:rightChars="0"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自立项以来，</w:t>
            </w:r>
            <w:r>
              <w:rPr>
                <w:rFonts w:hint="eastAsia" w:ascii="Arial" w:hAnsi="Arial" w:cs="Arial"/>
                <w:color w:val="auto"/>
                <w:sz w:val="21"/>
                <w:szCs w:val="21"/>
                <w:lang w:val="en-US" w:eastAsia="zh-CN"/>
              </w:rPr>
              <w:t>本专业</w:t>
            </w:r>
            <w:r>
              <w:rPr>
                <w:rFonts w:hint="default" w:ascii="Arial" w:hAnsi="Arial" w:cs="Arial"/>
                <w:color w:val="auto"/>
                <w:sz w:val="21"/>
                <w:szCs w:val="21"/>
              </w:rPr>
              <w:t>始终坚持以生为本，坚持在学校党委正确领导下，把立德树人作为专业建设的首要任务，全面贯彻党的教育方针，</w:t>
            </w:r>
            <w:r>
              <w:rPr>
                <w:rFonts w:hint="eastAsia" w:ascii="Arial" w:hAnsi="Arial" w:cs="Arial"/>
                <w:color w:val="auto"/>
                <w:sz w:val="21"/>
                <w:szCs w:val="21"/>
                <w:lang w:val="en-US" w:eastAsia="zh-CN"/>
              </w:rPr>
              <w:t>强调学生德智体美劳全面协调发展，</w:t>
            </w:r>
            <w:r>
              <w:rPr>
                <w:rFonts w:hint="default" w:ascii="Arial" w:hAnsi="Arial" w:cs="Arial"/>
                <w:color w:val="auto"/>
                <w:sz w:val="21"/>
                <w:szCs w:val="21"/>
              </w:rPr>
              <w:t>加强学生思想政治教育工作；</w:t>
            </w:r>
          </w:p>
          <w:p>
            <w:pPr>
              <w:pStyle w:val="21"/>
              <w:keepNext w:val="0"/>
              <w:keepLines w:val="0"/>
              <w:pageBreakBefore w:val="0"/>
              <w:widowControl/>
              <w:kinsoku/>
              <w:wordWrap w:val="0"/>
              <w:overflowPunct/>
              <w:topLinePunct w:val="0"/>
              <w:autoSpaceDE/>
              <w:autoSpaceDN/>
              <w:bidi w:val="0"/>
              <w:adjustRightInd/>
              <w:snapToGrid/>
              <w:spacing w:before="120" w:after="120" w:line="300" w:lineRule="auto"/>
              <w:ind w:left="0" w:leftChars="0" w:right="0" w:rightChars="0"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在品牌专业建设过程中，</w:t>
            </w:r>
            <w:r>
              <w:rPr>
                <w:rFonts w:hint="eastAsia" w:ascii="Arial" w:hAnsi="Arial" w:cs="Arial"/>
                <w:color w:val="auto"/>
                <w:sz w:val="21"/>
                <w:szCs w:val="21"/>
                <w:lang w:val="en-US" w:eastAsia="zh-CN"/>
              </w:rPr>
              <w:t>建立学业导师制度，专业化引导学生的学业规划和职业规划，特别对于学生在大一和大三学习转型期，引导学生在学习方法的转变与提升，推动学生的知识拓展和专业兴趣，对于转变学风，提高学生兴趣和能力，发挥重要作用；以专业学业导师为基础，引导所有授课教师，加强课程思政，</w:t>
            </w:r>
            <w:r>
              <w:rPr>
                <w:rFonts w:hint="default" w:ascii="Arial" w:hAnsi="Arial" w:cs="Arial"/>
                <w:color w:val="auto"/>
                <w:sz w:val="21"/>
                <w:szCs w:val="21"/>
              </w:rPr>
              <w:t>涌现出</w:t>
            </w:r>
            <w:r>
              <w:rPr>
                <w:rFonts w:hint="eastAsia" w:ascii="Arial" w:hAnsi="Arial" w:cs="Arial"/>
                <w:color w:val="auto"/>
                <w:sz w:val="21"/>
                <w:szCs w:val="21"/>
                <w:lang w:val="en-US" w:eastAsia="zh-CN"/>
              </w:rPr>
              <w:t>优秀</w:t>
            </w:r>
            <w:r>
              <w:rPr>
                <w:rFonts w:hint="default" w:ascii="Arial" w:hAnsi="Arial" w:cs="Arial"/>
                <w:color w:val="auto"/>
                <w:sz w:val="21"/>
                <w:szCs w:val="21"/>
              </w:rPr>
              <w:t>课程思政教师，</w:t>
            </w:r>
            <w:r>
              <w:rPr>
                <w:rFonts w:hint="eastAsia" w:ascii="Arial" w:hAnsi="Arial" w:cs="Arial"/>
                <w:color w:val="auto"/>
                <w:sz w:val="21"/>
                <w:szCs w:val="21"/>
                <w:lang w:val="en-US" w:eastAsia="zh-CN"/>
              </w:rPr>
              <w:t>使专业学生学风大为改进，考研深造、创新竞赛形成氛围，使得专业近三年来，考研率达30%，考研录取率始终保持在10%以上，在同类大学同类专业名列前茅。</w:t>
            </w:r>
          </w:p>
          <w:p>
            <w:pPr>
              <w:pStyle w:val="21"/>
              <w:keepNext w:val="0"/>
              <w:keepLines w:val="0"/>
              <w:pageBreakBefore w:val="0"/>
              <w:widowControl/>
              <w:kinsoku/>
              <w:wordWrap w:val="0"/>
              <w:overflowPunct/>
              <w:topLinePunct w:val="0"/>
              <w:autoSpaceDE/>
              <w:autoSpaceDN/>
              <w:bidi w:val="0"/>
              <w:adjustRightInd/>
              <w:snapToGrid/>
              <w:spacing w:before="120" w:after="120" w:line="300" w:lineRule="auto"/>
              <w:ind w:left="0" w:leftChars="0" w:right="0" w:rightChars="0" w:firstLine="420" w:firstLineChars="200"/>
              <w:jc w:val="left"/>
              <w:textAlignment w:val="auto"/>
              <w:outlineLvl w:val="9"/>
              <w:rPr>
                <w:rFonts w:hint="eastAsia" w:ascii="Arial" w:hAnsi="Arial" w:cs="Arial"/>
                <w:color w:val="auto"/>
                <w:sz w:val="21"/>
                <w:szCs w:val="21"/>
                <w:lang w:eastAsia="zh-CN"/>
              </w:rPr>
            </w:pPr>
            <w:r>
              <w:rPr>
                <w:rFonts w:hint="eastAsia" w:ascii="Arial" w:hAnsi="Arial" w:cs="Arial"/>
                <w:color w:val="auto"/>
                <w:sz w:val="21"/>
                <w:szCs w:val="21"/>
                <w:lang w:val="en-US" w:eastAsia="zh-CN"/>
              </w:rPr>
              <w:t>在品牌专业建设过程中，践行社会主义价值观，加强学生素质教育与培养；学院积极组织学生开展社会主义价值观主题党课、团日活动，组织学生学习十九大精神，开展</w:t>
            </w:r>
            <w:r>
              <w:rPr>
                <w:rFonts w:hint="eastAsia" w:asciiTheme="minorEastAsia" w:hAnsiTheme="minorEastAsia"/>
                <w:sz w:val="21"/>
                <w:szCs w:val="21"/>
              </w:rPr>
              <w:t>学院坚持加强党建工作，坚持“三会一课”制度，认真推行“两学一做”常态化，积极培养学生入党积极分子</w:t>
            </w:r>
            <w:r>
              <w:rPr>
                <w:rFonts w:hint="eastAsia" w:asciiTheme="minorEastAsia" w:hAnsiTheme="minorEastAsia"/>
                <w:sz w:val="21"/>
                <w:szCs w:val="21"/>
                <w:lang w:eastAsia="zh-CN"/>
              </w:rPr>
              <w:t>；</w:t>
            </w:r>
            <w:r>
              <w:rPr>
                <w:rFonts w:hint="default" w:ascii="Arial" w:hAnsi="Arial" w:cs="Arial"/>
                <w:color w:val="auto"/>
                <w:sz w:val="21"/>
                <w:szCs w:val="21"/>
              </w:rPr>
              <w:t>四年来，专业发展学生党员</w:t>
            </w:r>
            <w:r>
              <w:rPr>
                <w:rFonts w:hint="eastAsia" w:ascii="Arial" w:hAnsi="Arial" w:cs="Arial"/>
                <w:color w:val="auto"/>
                <w:sz w:val="21"/>
                <w:szCs w:val="21"/>
                <w:lang w:val="en-US" w:eastAsia="zh-CN"/>
              </w:rPr>
              <w:t>20</w:t>
            </w:r>
            <w:r>
              <w:rPr>
                <w:rFonts w:hint="default" w:ascii="Arial" w:hAnsi="Arial" w:cs="Arial"/>
                <w:color w:val="auto"/>
                <w:sz w:val="21"/>
                <w:szCs w:val="21"/>
              </w:rPr>
              <w:t>名，</w:t>
            </w:r>
            <w:r>
              <w:rPr>
                <w:rFonts w:hint="eastAsia" w:ascii="Arial" w:hAnsi="Arial" w:cs="Arial"/>
                <w:color w:val="auto"/>
                <w:sz w:val="21"/>
                <w:szCs w:val="21"/>
                <w:lang w:val="en-US" w:eastAsia="zh-CN"/>
              </w:rPr>
              <w:t>60%</w:t>
            </w:r>
            <w:r>
              <w:rPr>
                <w:rFonts w:hint="default" w:ascii="Arial" w:hAnsi="Arial" w:cs="Arial"/>
                <w:color w:val="auto"/>
                <w:sz w:val="21"/>
                <w:szCs w:val="21"/>
              </w:rPr>
              <w:t>党员学生先后通过考核被评为优秀共产党员；2名同学被评为省“三好学生”，3名同学被评为省“优秀学生干部”，4名同学被评为全校“身边榜样、前行人物”十佳榜样人物</w:t>
            </w:r>
            <w:r>
              <w:rPr>
                <w:rFonts w:hint="eastAsia" w:ascii="Arial" w:hAnsi="Arial" w:cs="Arial"/>
                <w:color w:val="auto"/>
                <w:sz w:val="21"/>
                <w:szCs w:val="21"/>
                <w:lang w:eastAsia="zh-CN"/>
              </w:rPr>
              <w:t>。</w:t>
            </w:r>
          </w:p>
          <w:p>
            <w:pPr>
              <w:pStyle w:val="21"/>
              <w:keepNext w:val="0"/>
              <w:keepLines w:val="0"/>
              <w:pageBreakBefore w:val="0"/>
              <w:widowControl/>
              <w:kinsoku/>
              <w:wordWrap w:val="0"/>
              <w:overflowPunct/>
              <w:topLinePunct w:val="0"/>
              <w:autoSpaceDE/>
              <w:autoSpaceDN/>
              <w:bidi w:val="0"/>
              <w:adjustRightInd/>
              <w:snapToGrid/>
              <w:spacing w:before="120" w:after="120" w:line="300" w:lineRule="auto"/>
              <w:ind w:left="0" w:leftChars="0" w:right="0" w:rightChars="0" w:firstLine="420" w:firstLineChars="200"/>
              <w:jc w:val="left"/>
              <w:textAlignment w:val="auto"/>
              <w:outlineLvl w:val="9"/>
              <w:rPr>
                <w:rFonts w:hint="default" w:ascii="Arial" w:hAnsi="Arial" w:cs="Arial"/>
                <w:color w:val="auto"/>
                <w:sz w:val="21"/>
                <w:szCs w:val="21"/>
              </w:rPr>
            </w:pPr>
            <w:r>
              <w:rPr>
                <w:rFonts w:hint="eastAsia" w:ascii="Arial" w:hAnsi="Arial" w:cs="Arial"/>
                <w:color w:val="auto"/>
                <w:sz w:val="21"/>
                <w:szCs w:val="21"/>
                <w:lang w:val="en-US" w:eastAsia="zh-CN"/>
              </w:rPr>
              <w:t>在品牌专业建设过程中，</w:t>
            </w:r>
            <w:r>
              <w:rPr>
                <w:rFonts w:hint="default" w:ascii="Arial" w:hAnsi="Arial" w:cs="Arial"/>
                <w:color w:val="auto"/>
                <w:sz w:val="21"/>
                <w:szCs w:val="21"/>
              </w:rPr>
              <w:t>学院积极组织学生</w:t>
            </w:r>
            <w:r>
              <w:rPr>
                <w:rFonts w:hint="eastAsia" w:ascii="Arial" w:hAnsi="Arial" w:cs="Arial"/>
                <w:color w:val="auto"/>
                <w:sz w:val="21"/>
                <w:szCs w:val="21"/>
                <w:lang w:val="en-US" w:eastAsia="zh-CN"/>
              </w:rPr>
              <w:t>社会活动、集体活动，提升学生5服务社会和注重实践的意识；</w:t>
            </w:r>
            <w:r>
              <w:rPr>
                <w:rFonts w:hint="default" w:ascii="Arial" w:hAnsi="Arial" w:cs="Arial"/>
                <w:color w:val="auto"/>
                <w:sz w:val="21"/>
                <w:szCs w:val="21"/>
              </w:rPr>
              <w:t>注重第二课堂对专业学生的思想引领和素质提升作用，积极倡导学生参加社会实践活动；许多同学在“中电”绿色科技之旅、“恩智浦”全国大学生智能车大赛志愿者活动、南京市福利院献爱心、三江青年说讲演、全球工程英语讲演大赛等各类社会实践活动积极锻炼与提升自我</w:t>
            </w:r>
            <w:r>
              <w:rPr>
                <w:rFonts w:hint="eastAsia" w:ascii="Arial" w:hAnsi="Arial" w:cs="Arial"/>
                <w:color w:val="auto"/>
                <w:sz w:val="21"/>
                <w:szCs w:val="21"/>
                <w:lang w:eastAsia="zh-CN"/>
              </w:rPr>
              <w:t>；</w:t>
            </w:r>
            <w:r>
              <w:rPr>
                <w:rFonts w:hint="eastAsia" w:ascii="Arial" w:hAnsi="Arial" w:cs="Arial"/>
                <w:color w:val="auto"/>
                <w:sz w:val="21"/>
                <w:szCs w:val="21"/>
                <w:lang w:val="en-US" w:eastAsia="zh-CN"/>
              </w:rPr>
              <w:t>参加大学生创新竞赛的积极性高涨，</w:t>
            </w:r>
            <w:r>
              <w:rPr>
                <w:rFonts w:hint="default" w:ascii="Arial" w:hAnsi="Arial" w:cs="Arial"/>
                <w:color w:val="auto"/>
                <w:sz w:val="21"/>
                <w:szCs w:val="21"/>
              </w:rPr>
              <w:t>参加国家级、省级竞赛13</w:t>
            </w:r>
            <w:r>
              <w:rPr>
                <w:rFonts w:hint="eastAsia" w:ascii="Arial" w:hAnsi="Arial" w:cs="Arial"/>
                <w:color w:val="auto"/>
                <w:sz w:val="21"/>
                <w:szCs w:val="21"/>
                <w:lang w:val="en-US" w:eastAsia="zh-CN"/>
              </w:rPr>
              <w:t>8项</w:t>
            </w:r>
            <w:r>
              <w:rPr>
                <w:rFonts w:hint="default" w:ascii="Arial" w:hAnsi="Arial" w:cs="Arial"/>
                <w:color w:val="auto"/>
                <w:sz w:val="21"/>
                <w:szCs w:val="21"/>
              </w:rPr>
              <w:t>，获得国家级奖项14项、省级奖项4</w:t>
            </w:r>
            <w:r>
              <w:rPr>
                <w:rFonts w:hint="eastAsia" w:ascii="Arial" w:hAnsi="Arial" w:cs="Arial"/>
                <w:color w:val="auto"/>
                <w:sz w:val="21"/>
                <w:szCs w:val="21"/>
                <w:lang w:val="en-US" w:eastAsia="zh-CN"/>
              </w:rPr>
              <w:t>1</w:t>
            </w:r>
            <w:r>
              <w:rPr>
                <w:rFonts w:hint="default" w:ascii="Arial" w:hAnsi="Arial" w:cs="Arial"/>
                <w:color w:val="auto"/>
                <w:sz w:val="21"/>
                <w:szCs w:val="21"/>
              </w:rPr>
              <w:t>项；</w:t>
            </w:r>
            <w:r>
              <w:rPr>
                <w:rFonts w:hint="eastAsia" w:ascii="Arial" w:hAnsi="Arial" w:cs="Arial"/>
                <w:color w:val="auto"/>
                <w:sz w:val="21"/>
                <w:szCs w:val="21"/>
                <w:lang w:val="en-US" w:eastAsia="zh-CN"/>
              </w:rPr>
              <w:t>不少同学积极参加创新创业活动，已有不少于5组学生自己组合，自主创业，有的获得省级创新创业大赛二等奖，有的进入孵化园接受孵化；</w:t>
            </w:r>
            <w:r>
              <w:rPr>
                <w:rFonts w:hint="default" w:ascii="Arial" w:hAnsi="Arial" w:cs="Arial"/>
                <w:color w:val="auto"/>
                <w:sz w:val="21"/>
                <w:szCs w:val="21"/>
              </w:rPr>
              <w:t>学院鼓励优秀学生积极报名参加“苏北计划”、“西部计划”，2015级1名学生主动申请到西藏克州就业，扎根基层工作，为祖国建设奉献青春。</w:t>
            </w:r>
          </w:p>
          <w:p>
            <w:pPr>
              <w:pStyle w:val="21"/>
              <w:keepNext w:val="0"/>
              <w:keepLines w:val="0"/>
              <w:pageBreakBefore w:val="0"/>
              <w:widowControl/>
              <w:kinsoku/>
              <w:wordWrap w:val="0"/>
              <w:overflowPunct/>
              <w:topLinePunct w:val="0"/>
              <w:autoSpaceDE/>
              <w:autoSpaceDN/>
              <w:bidi w:val="0"/>
              <w:adjustRightInd/>
              <w:snapToGrid/>
              <w:spacing w:before="120" w:after="120" w:line="300" w:lineRule="auto"/>
              <w:ind w:left="0" w:leftChars="0" w:right="0" w:rightChars="0" w:firstLine="420" w:firstLineChars="200"/>
              <w:jc w:val="left"/>
              <w:textAlignment w:val="auto"/>
              <w:outlineLvl w:val="9"/>
              <w:rPr>
                <w:rFonts w:hint="default" w:ascii="Arial" w:hAnsi="Arial" w:cs="Arial"/>
                <w:color w:val="auto"/>
                <w:sz w:val="21"/>
                <w:szCs w:val="21"/>
              </w:rPr>
            </w:pPr>
            <w:r>
              <w:rPr>
                <w:rFonts w:hint="eastAsia" w:ascii="Arial" w:hAnsi="Arial" w:cs="Arial"/>
                <w:color w:val="auto"/>
                <w:sz w:val="21"/>
                <w:szCs w:val="21"/>
                <w:lang w:val="en-US" w:eastAsia="zh-CN"/>
              </w:rPr>
              <w:t>总之，在品牌专业建设过程中，专业</w:t>
            </w:r>
            <w:r>
              <w:rPr>
                <w:rFonts w:hint="default" w:ascii="Arial" w:hAnsi="Arial" w:cs="Arial"/>
                <w:color w:val="auto"/>
                <w:sz w:val="21"/>
                <w:szCs w:val="21"/>
              </w:rPr>
              <w:t>坚持以“高素质公民和未来开拓者”人才培养目标为指向遵循教育规律，在不断完善理工科学生的科学理性教育的同时，进一步加强其人文素质教育。标新树榜，传递“正能量”来突破大学生心灵的藩篱，激励更多的青年勇于追梦，勤于圆梦，为中华民族的复兴凝聚青春力量</w:t>
            </w:r>
          </w:p>
          <w:p>
            <w:pPr>
              <w:keepNext w:val="0"/>
              <w:keepLines w:val="0"/>
              <w:pageBreakBefore w:val="0"/>
              <w:kinsoku/>
              <w:overflowPunct/>
              <w:topLinePunct w:val="0"/>
              <w:autoSpaceDE/>
              <w:autoSpaceDN/>
              <w:bidi w:val="0"/>
              <w:adjustRightInd/>
              <w:snapToGrid/>
              <w:spacing w:line="300" w:lineRule="auto"/>
              <w:ind w:left="0" w:leftChars="0" w:right="71" w:rightChars="34"/>
              <w:textAlignment w:val="auto"/>
              <w:outlineLvl w:val="9"/>
              <w:rPr>
                <w:rFonts w:hint="default" w:ascii="Arial" w:hAnsi="Arial" w:cs="Arial"/>
                <w:color w:val="auto"/>
                <w:sz w:val="21"/>
                <w:szCs w:val="21"/>
              </w:rPr>
            </w:pP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firstLine="482" w:firstLineChars="200"/>
              <w:textAlignment w:val="auto"/>
              <w:outlineLvl w:val="9"/>
              <w:rPr>
                <w:rFonts w:hint="default" w:ascii="Arial" w:hAnsi="Arial" w:cs="Arial" w:eastAsiaTheme="minorEastAsia"/>
                <w:b/>
                <w:color w:val="auto"/>
              </w:rPr>
            </w:pPr>
            <w:r>
              <w:rPr>
                <w:rFonts w:hint="default" w:ascii="Arial" w:hAnsi="Arial" w:cs="Arial" w:eastAsiaTheme="minorEastAsia"/>
                <w:b/>
                <w:color w:val="auto"/>
              </w:rPr>
              <w:t>②项目总体目标及分项任务进展情况</w:t>
            </w:r>
          </w:p>
          <w:p>
            <w:pPr>
              <w:pStyle w:val="21"/>
              <w:keepNext w:val="0"/>
              <w:keepLines w:val="0"/>
              <w:pageBreakBefore w:val="0"/>
              <w:widowControl/>
              <w:kinsoku/>
              <w:wordWrap w:val="0"/>
              <w:overflowPunct/>
              <w:topLinePunct w:val="0"/>
              <w:autoSpaceDE/>
              <w:autoSpaceDN/>
              <w:bidi w:val="0"/>
              <w:adjustRightInd/>
              <w:snapToGrid/>
              <w:spacing w:before="120" w:after="120" w:line="300" w:lineRule="auto"/>
              <w:ind w:left="0" w:leftChars="0" w:right="0" w:rightChars="0"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自立项以来，三江学院电子信息工程专业进一步明确了民办高校应用型本科品牌专业建设的理念、路线及策略，按照省品牌专业建设的要求，结合国家工程教育认证规范，经过不懈的探索与努力，基本完成了总体建设目标；</w:t>
            </w:r>
          </w:p>
          <w:p>
            <w:pPr>
              <w:pStyle w:val="21"/>
              <w:keepNext w:val="0"/>
              <w:keepLines w:val="0"/>
              <w:pageBreakBefore w:val="0"/>
              <w:widowControl/>
              <w:kinsoku/>
              <w:wordWrap w:val="0"/>
              <w:overflowPunct/>
              <w:topLinePunct w:val="0"/>
              <w:autoSpaceDE/>
              <w:autoSpaceDN/>
              <w:bidi w:val="0"/>
              <w:adjustRightInd/>
              <w:snapToGrid/>
              <w:spacing w:before="120" w:after="120" w:line="300" w:lineRule="auto"/>
              <w:ind w:left="0" w:leftChars="0" w:right="0" w:rightChars="0"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本专业品牌专业建设的中期检查成绩：良好。</w:t>
            </w:r>
          </w:p>
          <w:p>
            <w:pPr>
              <w:pStyle w:val="21"/>
              <w:keepNext w:val="0"/>
              <w:keepLines w:val="0"/>
              <w:pageBreakBefore w:val="0"/>
              <w:widowControl/>
              <w:kinsoku/>
              <w:wordWrap w:val="0"/>
              <w:overflowPunct/>
              <w:topLinePunct w:val="0"/>
              <w:autoSpaceDE/>
              <w:autoSpaceDN/>
              <w:bidi w:val="0"/>
              <w:adjustRightInd/>
              <w:snapToGrid/>
              <w:spacing w:before="120" w:after="120" w:line="300" w:lineRule="auto"/>
              <w:ind w:left="0" w:leftChars="0" w:right="0" w:rightChars="0"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在建设过程中，专业定位专业人才培养的“智能应用与移动互联应用”的产业应用工程师的主要方向，把建设的主要目标----“全新的校企合作“学生自主、二次分流”的应用型本科人才培养模式”逐步固化与优化，产生积极效果。</w:t>
            </w:r>
          </w:p>
          <w:p>
            <w:pPr>
              <w:pStyle w:val="21"/>
              <w:keepNext w:val="0"/>
              <w:keepLines w:val="0"/>
              <w:pageBreakBefore w:val="0"/>
              <w:widowControl/>
              <w:kinsoku/>
              <w:wordWrap w:val="0"/>
              <w:overflowPunct/>
              <w:topLinePunct w:val="0"/>
              <w:autoSpaceDE/>
              <w:autoSpaceDN/>
              <w:bidi w:val="0"/>
              <w:adjustRightInd/>
              <w:snapToGrid/>
              <w:spacing w:before="120" w:after="120" w:line="300" w:lineRule="auto"/>
              <w:ind w:left="0" w:leftChars="0" w:right="0" w:rightChars="0" w:firstLine="420" w:firstLineChars="200"/>
              <w:jc w:val="left"/>
              <w:textAlignment w:val="auto"/>
              <w:outlineLvl w:val="9"/>
              <w:rPr>
                <w:rFonts w:hint="eastAsia" w:ascii="Arial" w:hAnsi="Arial" w:eastAsia="宋体" w:cs="Arial"/>
                <w:color w:val="auto"/>
                <w:sz w:val="21"/>
                <w:szCs w:val="21"/>
                <w:lang w:eastAsia="zh-CN"/>
              </w:rPr>
            </w:pPr>
            <w:r>
              <w:rPr>
                <w:rFonts w:hint="default" w:ascii="Arial" w:hAnsi="Arial" w:cs="Arial"/>
                <w:color w:val="auto"/>
                <w:sz w:val="21"/>
                <w:szCs w:val="21"/>
              </w:rPr>
              <w:t>尽管由于本专业设置的专业知识体系要求对于三本生源的学生来说难度相对比就读其他专业大，因而原来生源质量和第一志愿率一直处于学校中位偏后；但随着品牌专业建设的推进，近年来本专业毕业生的年终就业率在校内名列前茅，专业学生学风不断向好，连续三年来考研率近30%，录取率保持在10%以上，达到国内同类高校同类专业领先水平；高品质就业率逐年提升，从毕业生各种回馈信息表明，学生就业专业相关度、职业期待吻合度、薪资水平、就业满意度等指标日益令人满意</w:t>
            </w:r>
            <w:r>
              <w:rPr>
                <w:rFonts w:hint="eastAsia" w:ascii="Arial" w:hAnsi="Arial" w:cs="Arial"/>
                <w:color w:val="auto"/>
                <w:sz w:val="21"/>
                <w:szCs w:val="21"/>
                <w:lang w:eastAsia="zh-CN"/>
              </w:rPr>
              <w:t>。</w:t>
            </w:r>
          </w:p>
          <w:p>
            <w:pPr>
              <w:pStyle w:val="21"/>
              <w:keepNext w:val="0"/>
              <w:keepLines w:val="0"/>
              <w:pageBreakBefore w:val="0"/>
              <w:widowControl/>
              <w:kinsoku/>
              <w:wordWrap w:val="0"/>
              <w:overflowPunct/>
              <w:topLinePunct w:val="0"/>
              <w:autoSpaceDE/>
              <w:autoSpaceDN/>
              <w:bidi w:val="0"/>
              <w:adjustRightInd/>
              <w:snapToGrid/>
              <w:spacing w:before="120" w:after="120" w:line="300" w:lineRule="auto"/>
              <w:ind w:left="0" w:leftChars="0" w:right="0" w:rightChars="0"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校企联合的“嵌入式”联合培养模式和产业学院职业训练模式将毕业生就业的企业定制率推向近100%；经过校企合作实践实训环节的就业前综合实训，在新兴产业细分专门人才需求领域（嵌入式应用、集成电路应用、移动互联应用），高薪就业学生（平均薪资2倍以上）逐步涌现，呈不断提升状态。</w:t>
            </w:r>
          </w:p>
          <w:p>
            <w:pPr>
              <w:pStyle w:val="21"/>
              <w:keepNext w:val="0"/>
              <w:keepLines w:val="0"/>
              <w:pageBreakBefore w:val="0"/>
              <w:widowControl/>
              <w:kinsoku/>
              <w:wordWrap w:val="0"/>
              <w:overflowPunct/>
              <w:topLinePunct w:val="0"/>
              <w:autoSpaceDE/>
              <w:autoSpaceDN/>
              <w:bidi w:val="0"/>
              <w:adjustRightInd/>
              <w:snapToGrid/>
              <w:spacing w:before="120" w:after="120" w:line="300" w:lineRule="auto"/>
              <w:ind w:left="0" w:leftChars="0" w:right="0" w:rightChars="0"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至此，有数据表明，本专业无论在师资团队、实践实训条件、课程内涵建设等方面，逐步形成特色明显、同类高校领先、具有示范效应的专业优势，</w:t>
            </w:r>
          </w:p>
          <w:p>
            <w:pPr>
              <w:pStyle w:val="21"/>
              <w:keepNext w:val="0"/>
              <w:keepLines w:val="0"/>
              <w:pageBreakBefore w:val="0"/>
              <w:widowControl/>
              <w:kinsoku/>
              <w:wordWrap w:val="0"/>
              <w:overflowPunct/>
              <w:topLinePunct w:val="0"/>
              <w:autoSpaceDE/>
              <w:autoSpaceDN/>
              <w:bidi w:val="0"/>
              <w:adjustRightInd/>
              <w:snapToGrid/>
              <w:spacing w:before="75" w:after="75" w:line="300" w:lineRule="auto"/>
              <w:ind w:left="0" w:leftChars="0" w:right="0" w:rightChars="0" w:firstLine="480" w:firstLineChars="0"/>
              <w:jc w:val="left"/>
              <w:textAlignment w:val="auto"/>
              <w:outlineLvl w:val="9"/>
              <w:rPr>
                <w:rFonts w:hint="default" w:ascii="Arial" w:hAnsi="Arial" w:eastAsia="楷体" w:cs="Arial"/>
                <w:color w:val="auto"/>
                <w:sz w:val="24"/>
                <w:szCs w:val="24"/>
              </w:rPr>
            </w:pPr>
            <w:r>
              <w:rPr>
                <w:rStyle w:val="26"/>
                <w:rFonts w:hint="default" w:ascii="Arial" w:hAnsi="Arial" w:eastAsia="楷体" w:cs="Arial"/>
                <w:color w:val="auto"/>
                <w:sz w:val="24"/>
                <w:szCs w:val="24"/>
              </w:rPr>
              <w:t>任务书中的总体目标的主要任务</w:t>
            </w:r>
            <w:r>
              <w:rPr>
                <w:rFonts w:hint="default" w:ascii="Arial" w:hAnsi="Arial" w:eastAsia="楷体" w:cs="Arial"/>
                <w:color w:val="auto"/>
                <w:sz w:val="24"/>
                <w:szCs w:val="24"/>
              </w:rPr>
              <w:t>：</w:t>
            </w:r>
          </w:p>
          <w:p>
            <w:pPr>
              <w:pStyle w:val="21"/>
              <w:keepNext w:val="0"/>
              <w:keepLines w:val="0"/>
              <w:pageBreakBefore w:val="0"/>
              <w:widowControl/>
              <w:kinsoku/>
              <w:wordWrap w:val="0"/>
              <w:overflowPunct/>
              <w:topLinePunct w:val="0"/>
              <w:autoSpaceDE/>
              <w:autoSpaceDN/>
              <w:bidi w:val="0"/>
              <w:adjustRightInd/>
              <w:snapToGrid/>
              <w:spacing w:before="75" w:after="75" w:line="300" w:lineRule="auto"/>
              <w:ind w:left="0" w:leftChars="0" w:right="0" w:rightChars="0" w:firstLine="480" w:firstLineChars="0"/>
              <w:jc w:val="left"/>
              <w:textAlignment w:val="auto"/>
              <w:outlineLvl w:val="9"/>
              <w:rPr>
                <w:rFonts w:hint="default" w:ascii="Arial" w:hAnsi="Arial" w:cs="Arial"/>
                <w:color w:val="auto"/>
                <w:sz w:val="21"/>
                <w:szCs w:val="21"/>
              </w:rPr>
            </w:pPr>
            <w:r>
              <w:rPr>
                <w:rFonts w:hint="default" w:ascii="Arial" w:hAnsi="Arial" w:eastAsia="楷体" w:cs="Arial"/>
                <w:color w:val="auto"/>
                <w:sz w:val="21"/>
                <w:szCs w:val="21"/>
              </w:rPr>
              <w:t>（1）坚持“引培并重”，注重“借力发展”。整合校企资源、吸纳国际资源，构建“高端人才引领、骨干教师支撑、多元结构特色”的教学团队，形成“定期充电、持续发展”的师资队伍发展机制，为品牌专业建设提供必要保障。</w:t>
            </w:r>
            <w:r>
              <w:rPr>
                <w:rFonts w:hint="default" w:ascii="Arial" w:hAnsi="Arial" w:cs="Arial"/>
                <w:color w:val="auto"/>
                <w:sz w:val="21"/>
                <w:szCs w:val="21"/>
              </w:rPr>
              <w:t>（已完成；形成特色，可以为品牌专业发展提供很好保障和发展后劲）</w:t>
            </w:r>
          </w:p>
          <w:p>
            <w:pPr>
              <w:pStyle w:val="21"/>
              <w:keepNext w:val="0"/>
              <w:keepLines w:val="0"/>
              <w:pageBreakBefore w:val="0"/>
              <w:widowControl/>
              <w:kinsoku/>
              <w:wordWrap w:val="0"/>
              <w:overflowPunct/>
              <w:topLinePunct w:val="0"/>
              <w:autoSpaceDE/>
              <w:autoSpaceDN/>
              <w:bidi w:val="0"/>
              <w:adjustRightInd/>
              <w:snapToGrid/>
              <w:spacing w:before="75" w:after="75" w:line="300" w:lineRule="auto"/>
              <w:ind w:left="0" w:leftChars="0" w:right="0" w:rightChars="0" w:firstLine="480" w:firstLineChars="0"/>
              <w:jc w:val="left"/>
              <w:textAlignment w:val="auto"/>
              <w:outlineLvl w:val="9"/>
              <w:rPr>
                <w:rFonts w:hint="default" w:ascii="Arial" w:hAnsi="Arial" w:cs="Arial"/>
                <w:color w:val="auto"/>
                <w:sz w:val="21"/>
                <w:szCs w:val="21"/>
              </w:rPr>
            </w:pPr>
            <w:r>
              <w:rPr>
                <w:rFonts w:hint="default" w:ascii="Arial" w:hAnsi="Arial" w:eastAsia="楷体" w:cs="Arial"/>
                <w:color w:val="auto"/>
                <w:sz w:val="21"/>
                <w:szCs w:val="21"/>
              </w:rPr>
              <w:t>（2）坚持“需求导向”，突出“学以致用”。制定与行业标准对接的培养标准，重组以技术逻辑关系为导向的课程体系，优化应用型人才特色鲜明的培养方案，建立“强化核心课程、整合基础课程、开发特色课程”的课程建设机制，编写与应用型人才培养要求相适应的特色教材，实施“在线+面授”混合式学习模式，形成丰富的课程资源与课程特色。</w:t>
            </w:r>
            <w:r>
              <w:rPr>
                <w:rFonts w:hint="default" w:ascii="Arial" w:hAnsi="Arial" w:cs="Arial"/>
                <w:color w:val="auto"/>
                <w:sz w:val="21"/>
                <w:szCs w:val="21"/>
              </w:rPr>
              <w:t>（已完成任务；但我们还需持续努力，把建设</w:t>
            </w:r>
            <w:r>
              <w:rPr>
                <w:rFonts w:hint="eastAsia" w:ascii="Arial" w:hAnsi="Arial" w:cs="Arial"/>
                <w:color w:val="auto"/>
                <w:sz w:val="21"/>
                <w:szCs w:val="21"/>
                <w:lang w:val="en-US" w:eastAsia="zh-CN"/>
              </w:rPr>
              <w:t>拓展</w:t>
            </w:r>
            <w:r>
              <w:rPr>
                <w:rFonts w:hint="default" w:ascii="Arial" w:hAnsi="Arial" w:cs="Arial"/>
                <w:color w:val="auto"/>
                <w:sz w:val="21"/>
                <w:szCs w:val="21"/>
              </w:rPr>
              <w:t>规划的专业工程基础系列课程与教材、专业工程实践系列课程与教材高质量完成优化和推广）</w:t>
            </w:r>
          </w:p>
          <w:p>
            <w:pPr>
              <w:pStyle w:val="21"/>
              <w:keepNext w:val="0"/>
              <w:keepLines w:val="0"/>
              <w:pageBreakBefore w:val="0"/>
              <w:widowControl/>
              <w:kinsoku/>
              <w:wordWrap w:val="0"/>
              <w:overflowPunct/>
              <w:topLinePunct w:val="0"/>
              <w:autoSpaceDE/>
              <w:autoSpaceDN/>
              <w:bidi w:val="0"/>
              <w:adjustRightInd/>
              <w:snapToGrid/>
              <w:spacing w:before="75" w:after="75" w:line="300" w:lineRule="auto"/>
              <w:ind w:left="0" w:leftChars="0" w:right="0" w:rightChars="0" w:firstLine="480" w:firstLineChars="0"/>
              <w:jc w:val="left"/>
              <w:textAlignment w:val="auto"/>
              <w:outlineLvl w:val="9"/>
              <w:rPr>
                <w:rFonts w:hint="default" w:ascii="Arial" w:hAnsi="Arial" w:cs="Arial"/>
                <w:color w:val="auto"/>
                <w:sz w:val="21"/>
                <w:szCs w:val="21"/>
              </w:rPr>
            </w:pPr>
            <w:r>
              <w:rPr>
                <w:rFonts w:hint="default" w:ascii="Arial" w:hAnsi="Arial" w:eastAsia="楷体" w:cs="Arial"/>
                <w:color w:val="auto"/>
                <w:sz w:val="21"/>
                <w:szCs w:val="21"/>
              </w:rPr>
              <w:t>（3）坚持“多元协同”，开展“资源共建”。联合行业企业，构建以基础实验为主的基品牌专业建设中的课程与教材规划，是针对专业持续发展和本技能训练平台、以综合应用为主的专业实践平台，以职业训练为主的实战训练平台，实施系列化、综合性、创新性项目教学改革，形成内容载体与工程实际对接的实践教学体系。</w:t>
            </w:r>
            <w:r>
              <w:rPr>
                <w:rFonts w:hint="default" w:ascii="Arial" w:hAnsi="Arial" w:cs="Arial"/>
                <w:color w:val="auto"/>
                <w:sz w:val="21"/>
                <w:szCs w:val="21"/>
              </w:rPr>
              <w:t>（已完成，和产业多个龙头企业深度合作，将校企实践实训基地提升为相应的产业学院，承载多层次更广泛的实践实训需求，不仅为本专业学生 “二次分流”服务，也面向其他相关专业和社会服务；形成自主特色，处于同类高校同类专业的领先地位）</w:t>
            </w:r>
          </w:p>
          <w:p>
            <w:pPr>
              <w:pStyle w:val="21"/>
              <w:keepNext w:val="0"/>
              <w:keepLines w:val="0"/>
              <w:pageBreakBefore w:val="0"/>
              <w:widowControl/>
              <w:kinsoku/>
              <w:wordWrap w:val="0"/>
              <w:overflowPunct/>
              <w:topLinePunct w:val="0"/>
              <w:autoSpaceDE/>
              <w:autoSpaceDN/>
              <w:bidi w:val="0"/>
              <w:adjustRightInd/>
              <w:snapToGrid/>
              <w:spacing w:before="75" w:after="75" w:line="300" w:lineRule="auto"/>
              <w:ind w:left="0" w:leftChars="0" w:right="0" w:rightChars="0" w:firstLine="480" w:firstLineChars="0"/>
              <w:jc w:val="left"/>
              <w:textAlignment w:val="auto"/>
              <w:outlineLvl w:val="9"/>
              <w:rPr>
                <w:rFonts w:hint="default" w:ascii="Arial" w:hAnsi="Arial" w:cs="Arial"/>
                <w:color w:val="auto"/>
                <w:sz w:val="21"/>
                <w:szCs w:val="21"/>
              </w:rPr>
            </w:pPr>
            <w:r>
              <w:rPr>
                <w:rFonts w:hint="default" w:ascii="Arial" w:hAnsi="Arial" w:eastAsia="楷体" w:cs="Arial"/>
                <w:color w:val="auto"/>
                <w:sz w:val="21"/>
                <w:szCs w:val="21"/>
              </w:rPr>
              <w:t>（4）坚持“普遍受益”，强化“双创能力”。整合专业教育与双创教育，优化创新创业课程体系；实施创新、创业普及化计划，整合校内外资源，建立校企合作、国际合作的大学生创新创业平台；强化创新创业团队建设，构建创新创业全程性服务体系，培养“就业有实力，双创有能力，发展有潜力”的高质量应用型人才。</w:t>
            </w:r>
            <w:r>
              <w:rPr>
                <w:rFonts w:hint="default" w:ascii="Arial" w:hAnsi="Arial" w:cs="Arial"/>
                <w:color w:val="auto"/>
                <w:sz w:val="21"/>
                <w:szCs w:val="21"/>
              </w:rPr>
              <w:t>（已完成；具有特色，借助于三江学院双创学院跨专业的创新创业平台和南京众创空间深度合作共建大学生创新创业基地，激发学生创新创业激情，形成常态机制）</w:t>
            </w:r>
          </w:p>
          <w:p>
            <w:pPr>
              <w:pStyle w:val="21"/>
              <w:keepNext w:val="0"/>
              <w:keepLines w:val="0"/>
              <w:pageBreakBefore w:val="0"/>
              <w:widowControl/>
              <w:kinsoku/>
              <w:wordWrap w:val="0"/>
              <w:overflowPunct/>
              <w:topLinePunct w:val="0"/>
              <w:autoSpaceDE/>
              <w:autoSpaceDN/>
              <w:bidi w:val="0"/>
              <w:adjustRightInd/>
              <w:snapToGrid/>
              <w:spacing w:before="75" w:after="75" w:line="300" w:lineRule="auto"/>
              <w:ind w:left="0" w:leftChars="0" w:right="0" w:rightChars="0" w:firstLine="480" w:firstLineChars="0"/>
              <w:jc w:val="left"/>
              <w:textAlignment w:val="auto"/>
              <w:outlineLvl w:val="9"/>
              <w:rPr>
                <w:rFonts w:hint="default" w:ascii="Arial" w:hAnsi="Arial" w:cs="Arial"/>
                <w:color w:val="auto"/>
                <w:sz w:val="21"/>
                <w:szCs w:val="21"/>
              </w:rPr>
            </w:pPr>
            <w:r>
              <w:rPr>
                <w:rFonts w:hint="default" w:ascii="Arial" w:hAnsi="Arial" w:eastAsia="楷体" w:cs="Arial"/>
                <w:color w:val="auto"/>
                <w:sz w:val="21"/>
                <w:szCs w:val="21"/>
              </w:rPr>
              <w:t>（5）坚持“高端引领”，深化“国际合作”。与国际合作伙伴开展教师互派、学生互换、学分互认、学位互授，引进先进的应用型人才培养理念和课程资源，实施“3+1+2”本硕连读高层次应用型人才联合培养机制。</w:t>
            </w:r>
            <w:r>
              <w:rPr>
                <w:rFonts w:hint="default" w:ascii="Arial" w:hAnsi="Arial" w:cs="Arial"/>
                <w:color w:val="auto"/>
                <w:sz w:val="21"/>
                <w:szCs w:val="21"/>
              </w:rPr>
              <w:t>（已完成，引进欧洲工程教育模式，已形成实践实训项目化教学的范式，和国际标杆大学荷兰saxion大学多层次合作常态化）</w:t>
            </w:r>
          </w:p>
          <w:p>
            <w:pPr>
              <w:pStyle w:val="21"/>
              <w:keepNext w:val="0"/>
              <w:keepLines w:val="0"/>
              <w:pageBreakBefore w:val="0"/>
              <w:widowControl/>
              <w:kinsoku/>
              <w:wordWrap w:val="0"/>
              <w:overflowPunct/>
              <w:topLinePunct w:val="0"/>
              <w:autoSpaceDE/>
              <w:autoSpaceDN/>
              <w:bidi w:val="0"/>
              <w:adjustRightInd/>
              <w:snapToGrid/>
              <w:spacing w:before="75" w:after="75" w:line="300" w:lineRule="auto"/>
              <w:ind w:left="0" w:leftChars="0" w:right="0" w:rightChars="0" w:firstLine="480" w:firstLineChars="0"/>
              <w:jc w:val="left"/>
              <w:textAlignment w:val="auto"/>
              <w:outlineLvl w:val="9"/>
              <w:rPr>
                <w:rFonts w:hint="default" w:ascii="Arial" w:hAnsi="Arial" w:cs="Arial"/>
                <w:color w:val="auto"/>
                <w:sz w:val="21"/>
                <w:szCs w:val="21"/>
              </w:rPr>
            </w:pPr>
            <w:r>
              <w:rPr>
                <w:rFonts w:hint="default" w:ascii="Arial" w:hAnsi="Arial" w:eastAsia="楷体" w:cs="Arial"/>
                <w:color w:val="auto"/>
                <w:sz w:val="21"/>
                <w:szCs w:val="21"/>
              </w:rPr>
              <w:t>（6）坚持“同类一流”，彰显水平特色。注重开展应用型本科教育的理论研究，建立“多元协同、深度融合”的社会合作培养机制，实行“学生自主、二次分流”的个性化培养模式，形成一批在全国具有创新性、示范性、引领性的高水平成果。</w:t>
            </w:r>
            <w:r>
              <w:rPr>
                <w:rFonts w:hint="default" w:ascii="Arial" w:hAnsi="Arial" w:cs="Arial"/>
                <w:color w:val="auto"/>
                <w:sz w:val="21"/>
                <w:szCs w:val="21"/>
              </w:rPr>
              <w:t>（已完成，学生自主、二次分流的差异化人才培养模式开始固化、优化，高水平创新性、示范性、引领性成果将会不断显现）</w:t>
            </w:r>
          </w:p>
          <w:p>
            <w:pPr>
              <w:pStyle w:val="21"/>
              <w:keepNext w:val="0"/>
              <w:keepLines w:val="0"/>
              <w:pageBreakBefore w:val="0"/>
              <w:widowControl/>
              <w:kinsoku/>
              <w:wordWrap w:val="0"/>
              <w:overflowPunct/>
              <w:topLinePunct w:val="0"/>
              <w:autoSpaceDE/>
              <w:autoSpaceDN/>
              <w:bidi w:val="0"/>
              <w:adjustRightInd/>
              <w:snapToGrid/>
              <w:spacing w:before="120" w:after="120" w:line="300" w:lineRule="auto"/>
              <w:ind w:left="0" w:leftChars="0" w:right="0" w:rightChars="0" w:firstLine="465" w:firstLineChars="0"/>
              <w:jc w:val="left"/>
              <w:textAlignment w:val="auto"/>
              <w:outlineLvl w:val="9"/>
              <w:rPr>
                <w:rFonts w:hint="default" w:ascii="Arial" w:hAnsi="Arial" w:cs="Arial"/>
                <w:color w:val="auto"/>
                <w:sz w:val="24"/>
                <w:szCs w:val="24"/>
              </w:rPr>
            </w:pPr>
            <w:r>
              <w:rPr>
                <w:rStyle w:val="26"/>
                <w:rFonts w:hint="default" w:ascii="Arial" w:hAnsi="Arial" w:cs="Arial"/>
                <w:color w:val="auto"/>
                <w:sz w:val="24"/>
                <w:szCs w:val="24"/>
              </w:rPr>
              <w:t>任务书中的总体任务的预期标志性成果：</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firstLine="465"/>
              <w:jc w:val="left"/>
              <w:textAlignment w:val="auto"/>
              <w:outlineLvl w:val="9"/>
              <w:rPr>
                <w:rFonts w:hint="default" w:ascii="Arial" w:hAnsi="Arial" w:cs="Arial"/>
                <w:color w:val="auto"/>
                <w:sz w:val="21"/>
                <w:szCs w:val="21"/>
              </w:rPr>
            </w:pPr>
            <w:r>
              <w:rPr>
                <w:rFonts w:hint="default" w:ascii="Arial" w:hAnsi="Arial" w:eastAsia="楷体" w:cs="Arial"/>
                <w:color w:val="auto"/>
                <w:sz w:val="21"/>
                <w:szCs w:val="21"/>
              </w:rPr>
              <w:t>（1）通过国家工程教育认证，进入国家品牌特色专业行列，全国同类高校相同专业排名进入前5位，成为全国应用型人才培养的示范性专业。</w:t>
            </w:r>
            <w:r>
              <w:rPr>
                <w:rFonts w:hint="default" w:ascii="Arial" w:hAnsi="Arial" w:cs="Arial"/>
                <w:color w:val="auto"/>
                <w:sz w:val="21"/>
                <w:szCs w:val="21"/>
              </w:rPr>
              <w:t>（一直以国家工程教育认证规范进行品牌专业建设，但国家工程教育认证至今没有对民办大学开放，故</w:t>
            </w:r>
            <w:r>
              <w:rPr>
                <w:rFonts w:hint="eastAsia" w:ascii="Arial" w:hAnsi="Arial" w:cs="Arial"/>
                <w:color w:val="auto"/>
                <w:sz w:val="21"/>
                <w:szCs w:val="21"/>
                <w:lang w:val="en-US" w:eastAsia="zh-CN"/>
              </w:rPr>
              <w:t>暂</w:t>
            </w:r>
            <w:r>
              <w:rPr>
                <w:rFonts w:hint="default" w:ascii="Arial" w:hAnsi="Arial" w:cs="Arial"/>
                <w:color w:val="auto"/>
                <w:sz w:val="21"/>
                <w:szCs w:val="21"/>
              </w:rPr>
              <w:t>无法评估；但从师资团队、实践实验条件、课程与教材建设内涵来比较，经过四年品牌专业建设，目前具有全国同类高校同类专业前五名的实力与水平是没有问题的）</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firstLine="465"/>
              <w:jc w:val="left"/>
              <w:textAlignment w:val="auto"/>
              <w:outlineLvl w:val="9"/>
              <w:rPr>
                <w:rFonts w:hint="default" w:ascii="Arial" w:hAnsi="Arial" w:cs="Arial"/>
                <w:color w:val="auto"/>
                <w:sz w:val="21"/>
                <w:szCs w:val="21"/>
              </w:rPr>
            </w:pPr>
            <w:r>
              <w:rPr>
                <w:rFonts w:hint="default" w:ascii="Arial" w:hAnsi="Arial" w:eastAsia="楷体" w:cs="Arial"/>
                <w:color w:val="auto"/>
                <w:sz w:val="21"/>
                <w:szCs w:val="21"/>
              </w:rPr>
              <w:t>（2）引进“千人计划”1名和省级教学名师1名，教学团队达到省级优秀教学团队水平，入选省级人才工程项目3人，双师型教师占比大于80%，有海外学习经历的教师占比大于50%，多元结构的师资队伍特色鲜明。</w:t>
            </w:r>
            <w:r>
              <w:rPr>
                <w:rFonts w:hint="default" w:ascii="Arial" w:hAnsi="Arial" w:cs="Arial"/>
                <w:color w:val="auto"/>
                <w:sz w:val="21"/>
                <w:szCs w:val="21"/>
              </w:rPr>
              <w:t>（已较好完成；品牌专业建设期间，利用民办大学灵活用人机制，校校、校企、国际合作，借力发展；教授团队高屋建瓴，从2人发展到8人；45岁以下博士、副教授骨干队伍发展迅速，从1人发展到14人；中青年骨干挑起大梁，多元结构的师资队伍特色鲜明）</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firstLine="465"/>
              <w:jc w:val="left"/>
              <w:textAlignment w:val="auto"/>
              <w:outlineLvl w:val="9"/>
              <w:rPr>
                <w:rFonts w:hint="default" w:ascii="Arial" w:hAnsi="Arial" w:cs="Arial"/>
                <w:color w:val="auto"/>
                <w:sz w:val="21"/>
                <w:szCs w:val="21"/>
              </w:rPr>
            </w:pPr>
            <w:r>
              <w:rPr>
                <w:rFonts w:hint="default" w:ascii="Arial" w:hAnsi="Arial" w:eastAsia="楷体" w:cs="Arial"/>
                <w:color w:val="auto"/>
                <w:sz w:val="21"/>
                <w:szCs w:val="21"/>
              </w:rPr>
              <w:t>（3）课程体系全面优化，课程资源形式多样，专业核心课程全部达到省级精品课或资源共享课水平，入选国家级规划教材1部，省级重点教材2部，被同类高校普遍选用的教材3部。</w:t>
            </w:r>
            <w:r>
              <w:rPr>
                <w:rFonts w:hint="default" w:ascii="Arial" w:hAnsi="Arial" w:cs="Arial"/>
                <w:color w:val="auto"/>
                <w:sz w:val="21"/>
                <w:szCs w:val="21"/>
              </w:rPr>
              <w:t>（已</w:t>
            </w:r>
            <w:r>
              <w:rPr>
                <w:rFonts w:hint="eastAsia" w:ascii="Arial" w:hAnsi="Arial" w:cs="Arial"/>
                <w:color w:val="auto"/>
                <w:sz w:val="21"/>
                <w:szCs w:val="21"/>
                <w:lang w:val="en-US" w:eastAsia="zh-CN"/>
              </w:rPr>
              <w:t>基本</w:t>
            </w:r>
            <w:r>
              <w:rPr>
                <w:rFonts w:hint="default" w:ascii="Arial" w:hAnsi="Arial" w:cs="Arial"/>
                <w:color w:val="auto"/>
                <w:sz w:val="21"/>
                <w:szCs w:val="21"/>
              </w:rPr>
              <w:t>完成；利用民办大学资源整合机制，校校、校企、国际合作，使得该项任务</w:t>
            </w:r>
            <w:r>
              <w:rPr>
                <w:rFonts w:hint="eastAsia" w:ascii="Arial" w:hAnsi="Arial" w:cs="Arial"/>
                <w:color w:val="auto"/>
                <w:sz w:val="21"/>
                <w:szCs w:val="21"/>
                <w:lang w:val="en-US" w:eastAsia="zh-CN"/>
              </w:rPr>
              <w:t>基本</w:t>
            </w:r>
            <w:r>
              <w:rPr>
                <w:rFonts w:hint="default" w:ascii="Arial" w:hAnsi="Arial" w:cs="Arial"/>
                <w:color w:val="auto"/>
                <w:sz w:val="21"/>
                <w:szCs w:val="21"/>
              </w:rPr>
              <w:t>完成，入选国家级规划教材1部，省级</w:t>
            </w:r>
            <w:r>
              <w:rPr>
                <w:rFonts w:hint="eastAsia" w:ascii="Arial" w:hAnsi="Arial" w:cs="Arial"/>
                <w:color w:val="auto"/>
                <w:sz w:val="21"/>
                <w:szCs w:val="21"/>
                <w:lang w:val="en-US" w:eastAsia="zh-CN"/>
              </w:rPr>
              <w:t>重点</w:t>
            </w:r>
            <w:r>
              <w:rPr>
                <w:rFonts w:hint="default" w:ascii="Arial" w:hAnsi="Arial" w:cs="Arial"/>
                <w:color w:val="auto"/>
                <w:sz w:val="21"/>
                <w:szCs w:val="21"/>
              </w:rPr>
              <w:t>教材1部（教授团队拥有的</w:t>
            </w:r>
            <w:r>
              <w:rPr>
                <w:rFonts w:hint="eastAsia" w:ascii="Arial" w:hAnsi="Arial" w:cs="Arial"/>
                <w:color w:val="auto"/>
                <w:sz w:val="21"/>
                <w:szCs w:val="21"/>
                <w:lang w:val="en-US" w:eastAsia="zh-CN"/>
              </w:rPr>
              <w:t>可</w:t>
            </w:r>
            <w:r>
              <w:rPr>
                <w:rFonts w:hint="default" w:ascii="Arial" w:hAnsi="Arial" w:cs="Arial"/>
                <w:color w:val="auto"/>
                <w:sz w:val="21"/>
                <w:szCs w:val="21"/>
              </w:rPr>
              <w:t>资源</w:t>
            </w:r>
            <w:r>
              <w:rPr>
                <w:rFonts w:hint="eastAsia" w:ascii="Arial" w:hAnsi="Arial" w:cs="Arial"/>
                <w:color w:val="auto"/>
                <w:sz w:val="21"/>
                <w:szCs w:val="21"/>
                <w:lang w:val="en-US" w:eastAsia="zh-CN"/>
              </w:rPr>
              <w:t>重点</w:t>
            </w:r>
            <w:r>
              <w:rPr>
                <w:rFonts w:hint="default" w:ascii="Arial" w:hAnsi="Arial" w:cs="Arial"/>
                <w:color w:val="auto"/>
                <w:sz w:val="21"/>
                <w:szCs w:val="21"/>
              </w:rPr>
              <w:t>教材多部），被同类高校普遍选用的教材4部（华为技术系列教材））</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firstLine="465"/>
              <w:jc w:val="left"/>
              <w:textAlignment w:val="auto"/>
              <w:outlineLvl w:val="9"/>
              <w:rPr>
                <w:rFonts w:hint="default" w:ascii="Arial" w:hAnsi="Arial" w:cs="Arial"/>
                <w:color w:val="auto"/>
                <w:sz w:val="21"/>
                <w:szCs w:val="21"/>
              </w:rPr>
            </w:pPr>
            <w:r>
              <w:rPr>
                <w:rFonts w:hint="default" w:ascii="Arial" w:hAnsi="Arial" w:eastAsia="楷体" w:cs="Arial"/>
                <w:color w:val="auto"/>
                <w:sz w:val="21"/>
                <w:szCs w:val="21"/>
              </w:rPr>
              <w:t>（4）建设完成省级实验教学示范中心2个、省级工程中心1个，国家级工程实践教育基地1个，与产业对接、与国际接轨的集基础实验、项目教学、从业训练、技术创新于一体的优质平台基本形成。</w:t>
            </w:r>
            <w:r>
              <w:rPr>
                <w:rFonts w:hint="default" w:ascii="Arial" w:hAnsi="Arial" w:cs="Arial"/>
                <w:color w:val="auto"/>
                <w:sz w:val="21"/>
                <w:szCs w:val="21"/>
              </w:rPr>
              <w:t>（已完成；拥有省级实验教学示范中心2个、省级工程中心分中心1个，国家级工程实践教育基地1个，</w:t>
            </w:r>
            <w:r>
              <w:rPr>
                <w:rFonts w:hint="eastAsia" w:ascii="Arial" w:hAnsi="Arial" w:cs="Arial"/>
                <w:color w:val="auto"/>
                <w:sz w:val="21"/>
                <w:szCs w:val="21"/>
                <w:lang w:val="en-US" w:eastAsia="zh-CN"/>
              </w:rPr>
              <w:t>并通过校企深度合作超额建成华为ICT产业学院、新能源产业学院的实践实训平台，</w:t>
            </w:r>
            <w:r>
              <w:rPr>
                <w:rFonts w:hint="default" w:ascii="Arial" w:hAnsi="Arial" w:cs="Arial"/>
                <w:color w:val="auto"/>
                <w:sz w:val="21"/>
                <w:szCs w:val="21"/>
              </w:rPr>
              <w:t xml:space="preserve">与产业对接、与国际接轨的集基础实验、项目教学、从业训练、技术创新于一体的优质平台基本形成） </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firstLine="465"/>
              <w:jc w:val="left"/>
              <w:textAlignment w:val="auto"/>
              <w:outlineLvl w:val="9"/>
              <w:rPr>
                <w:rFonts w:hint="default" w:ascii="Arial" w:hAnsi="Arial" w:cs="Arial"/>
                <w:color w:val="auto"/>
                <w:sz w:val="21"/>
                <w:szCs w:val="21"/>
              </w:rPr>
            </w:pPr>
            <w:r>
              <w:rPr>
                <w:rFonts w:hint="default" w:ascii="Arial" w:hAnsi="Arial" w:eastAsia="楷体" w:cs="Arial"/>
                <w:color w:val="auto"/>
                <w:sz w:val="21"/>
                <w:szCs w:val="21"/>
              </w:rPr>
              <w:t>（5）创新创业教育体系全面完善，学生参与面达到100%，获国家级、省级以上竞赛奖励不少于60项，发表论文、申请专利等不少于100项，国家级奖励不少于10项。</w:t>
            </w:r>
            <w:r>
              <w:rPr>
                <w:rFonts w:hint="default" w:ascii="Arial" w:hAnsi="Arial" w:cs="Arial"/>
                <w:color w:val="auto"/>
                <w:sz w:val="21"/>
                <w:szCs w:val="21"/>
              </w:rPr>
              <w:t>（已</w:t>
            </w:r>
            <w:r>
              <w:rPr>
                <w:rFonts w:hint="eastAsia" w:ascii="Arial" w:hAnsi="Arial" w:cs="Arial"/>
                <w:color w:val="auto"/>
                <w:sz w:val="21"/>
                <w:szCs w:val="21"/>
                <w:lang w:val="en-US" w:eastAsia="zh-CN"/>
              </w:rPr>
              <w:t>基本</w:t>
            </w:r>
            <w:r>
              <w:rPr>
                <w:rFonts w:hint="default" w:ascii="Arial" w:hAnsi="Arial" w:cs="Arial"/>
                <w:color w:val="auto"/>
                <w:sz w:val="21"/>
                <w:szCs w:val="21"/>
              </w:rPr>
              <w:t>完成，借助于三江学院双创学院跨专业的创新创业平台和南京众创空间的深度合作，创新创业教育体系全面完善，学生参加国际、国家、省市、学校、学院、专业的各种创新创业活动，参与面近100%；参与各级赛事</w:t>
            </w:r>
            <w:r>
              <w:rPr>
                <w:rFonts w:hint="eastAsia" w:ascii="Arial" w:hAnsi="Arial" w:cs="Arial"/>
                <w:color w:val="auto"/>
                <w:sz w:val="21"/>
                <w:szCs w:val="21"/>
                <w:lang w:eastAsia="zh-CN"/>
              </w:rPr>
              <w:t>，</w:t>
            </w:r>
            <w:r>
              <w:rPr>
                <w:rFonts w:hint="eastAsia" w:ascii="Arial" w:hAnsi="Arial" w:cs="Arial"/>
                <w:color w:val="auto"/>
                <w:sz w:val="21"/>
                <w:szCs w:val="21"/>
                <w:lang w:val="en-US" w:eastAsia="zh-CN"/>
              </w:rPr>
              <w:t>四年来，国家级、省级竞赛获奖61项（已完成），国家级获奖14项（超额完成）、</w:t>
            </w:r>
            <w:r>
              <w:rPr>
                <w:rFonts w:hint="default" w:ascii="Arial" w:hAnsi="Arial" w:cs="Arial"/>
                <w:color w:val="auto"/>
                <w:sz w:val="21"/>
                <w:szCs w:val="21"/>
              </w:rPr>
              <w:t>发表论文、申请专利</w:t>
            </w:r>
            <w:r>
              <w:rPr>
                <w:rFonts w:hint="eastAsia" w:ascii="Arial" w:hAnsi="Arial" w:cs="Arial"/>
                <w:color w:val="auto"/>
                <w:sz w:val="21"/>
                <w:szCs w:val="21"/>
                <w:lang w:val="en-US" w:eastAsia="zh-CN"/>
              </w:rPr>
              <w:t>40余项，</w:t>
            </w:r>
            <w:r>
              <w:rPr>
                <w:rFonts w:hint="default" w:ascii="Arial" w:hAnsi="Arial" w:cs="Arial"/>
                <w:color w:val="auto"/>
                <w:sz w:val="21"/>
                <w:szCs w:val="21"/>
              </w:rPr>
              <w:t>数量</w:t>
            </w:r>
            <w:r>
              <w:rPr>
                <w:rFonts w:hint="eastAsia" w:ascii="Arial" w:hAnsi="Arial" w:cs="Arial"/>
                <w:color w:val="auto"/>
                <w:sz w:val="21"/>
                <w:szCs w:val="21"/>
                <w:lang w:val="en-US" w:eastAsia="zh-CN"/>
              </w:rPr>
              <w:t>未</w:t>
            </w:r>
            <w:r>
              <w:rPr>
                <w:rFonts w:hint="default" w:ascii="Arial" w:hAnsi="Arial" w:cs="Arial"/>
                <w:color w:val="auto"/>
                <w:sz w:val="21"/>
                <w:szCs w:val="21"/>
              </w:rPr>
              <w:t>达标</w:t>
            </w:r>
            <w:r>
              <w:rPr>
                <w:rFonts w:hint="eastAsia" w:ascii="Arial" w:hAnsi="Arial" w:cs="Arial"/>
                <w:color w:val="auto"/>
                <w:sz w:val="21"/>
                <w:szCs w:val="21"/>
                <w:lang w:eastAsia="zh-CN"/>
              </w:rPr>
              <w:t>，</w:t>
            </w:r>
            <w:r>
              <w:rPr>
                <w:rFonts w:hint="eastAsia" w:ascii="Arial" w:hAnsi="Arial" w:cs="Arial"/>
                <w:color w:val="auto"/>
                <w:sz w:val="21"/>
                <w:szCs w:val="21"/>
                <w:lang w:val="en-US" w:eastAsia="zh-CN"/>
              </w:rPr>
              <w:t>但论文、专利质量比前几年明显提升</w:t>
            </w:r>
            <w:r>
              <w:rPr>
                <w:rFonts w:hint="default" w:ascii="Arial" w:hAnsi="Arial" w:cs="Arial"/>
                <w:color w:val="auto"/>
                <w:sz w:val="21"/>
                <w:szCs w:val="21"/>
              </w:rPr>
              <w:t>）</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75" w:firstLine="480"/>
              <w:jc w:val="left"/>
              <w:textAlignment w:val="auto"/>
              <w:outlineLvl w:val="9"/>
              <w:rPr>
                <w:rFonts w:hint="default" w:ascii="Arial" w:hAnsi="Arial" w:cs="Arial"/>
                <w:color w:val="auto"/>
              </w:rPr>
            </w:pPr>
            <w:r>
              <w:rPr>
                <w:rFonts w:hint="default" w:ascii="Arial" w:hAnsi="Arial" w:cs="Arial"/>
                <w:color w:val="auto"/>
                <w:sz w:val="21"/>
                <w:szCs w:val="21"/>
              </w:rPr>
              <w:t>（6）</w:t>
            </w:r>
            <w:r>
              <w:rPr>
                <w:rFonts w:hint="default" w:ascii="Arial" w:hAnsi="Arial" w:eastAsia="楷体" w:cs="Arial"/>
                <w:color w:val="auto"/>
                <w:sz w:val="21"/>
                <w:szCs w:val="21"/>
              </w:rPr>
              <w:t>“多元协同、深度融合”的社会合作培养不断深化，“学生自主、二次分流”的培养模式已经形成，获得省部级及以上教改项目5项，省部级教学成果奖1~2项，特色鲜明、同类高校领先、具有示范引领作用的应用型品牌专业基本建成。</w:t>
            </w:r>
            <w:r>
              <w:rPr>
                <w:rFonts w:hint="default" w:ascii="Arial" w:hAnsi="Arial" w:cs="Arial"/>
                <w:color w:val="auto"/>
                <w:sz w:val="21"/>
                <w:szCs w:val="21"/>
              </w:rPr>
              <w:t>（</w:t>
            </w:r>
            <w:r>
              <w:rPr>
                <w:rFonts w:hint="eastAsia" w:ascii="Arial" w:hAnsi="Arial" w:cs="Arial"/>
                <w:color w:val="auto"/>
                <w:sz w:val="21"/>
                <w:szCs w:val="21"/>
                <w:lang w:val="en-US" w:eastAsia="zh-CN"/>
              </w:rPr>
              <w:t>基本</w:t>
            </w:r>
            <w:r>
              <w:rPr>
                <w:rFonts w:hint="default" w:ascii="Arial" w:hAnsi="Arial" w:cs="Arial"/>
                <w:color w:val="auto"/>
                <w:sz w:val="21"/>
                <w:szCs w:val="21"/>
              </w:rPr>
              <w:t>完成，“多元协同、深度融合”的社会合作培养不断深化，“学生自主、二次分流”的培养模式已经形成；教师参加教改积极性高涨，省部级以上教改项目14项</w:t>
            </w:r>
            <w:r>
              <w:rPr>
                <w:rFonts w:hint="eastAsia" w:ascii="Arial" w:hAnsi="Arial" w:cs="Arial"/>
                <w:color w:val="auto"/>
                <w:sz w:val="21"/>
                <w:szCs w:val="21"/>
                <w:lang w:eastAsia="zh-CN"/>
              </w:rPr>
              <w:t>（</w:t>
            </w:r>
            <w:r>
              <w:rPr>
                <w:rFonts w:hint="eastAsia" w:ascii="Arial" w:hAnsi="Arial" w:cs="Arial"/>
                <w:color w:val="auto"/>
                <w:sz w:val="21"/>
                <w:szCs w:val="21"/>
                <w:lang w:val="en-US" w:eastAsia="zh-CN"/>
              </w:rPr>
              <w:t>超额完成</w:t>
            </w:r>
            <w:r>
              <w:rPr>
                <w:rFonts w:hint="eastAsia" w:ascii="Arial" w:hAnsi="Arial" w:cs="Arial"/>
                <w:color w:val="auto"/>
                <w:sz w:val="21"/>
                <w:szCs w:val="21"/>
                <w:lang w:eastAsia="zh-CN"/>
              </w:rPr>
              <w:t>）</w:t>
            </w:r>
            <w:r>
              <w:rPr>
                <w:rFonts w:hint="default" w:ascii="Arial" w:hAnsi="Arial" w:cs="Arial"/>
                <w:color w:val="auto"/>
                <w:sz w:val="21"/>
                <w:szCs w:val="21"/>
              </w:rPr>
              <w:t>，但省部级教学成果奖暂缺</w:t>
            </w:r>
            <w:r>
              <w:rPr>
                <w:rFonts w:hint="eastAsia" w:ascii="Arial" w:hAnsi="Arial" w:cs="Arial"/>
                <w:color w:val="auto"/>
                <w:sz w:val="21"/>
                <w:szCs w:val="21"/>
                <w:lang w:eastAsia="zh-CN"/>
              </w:rPr>
              <w:t>（</w:t>
            </w:r>
            <w:r>
              <w:rPr>
                <w:rFonts w:hint="eastAsia" w:ascii="Arial" w:hAnsi="Arial" w:cs="Arial"/>
                <w:color w:val="auto"/>
                <w:sz w:val="21"/>
                <w:szCs w:val="21"/>
                <w:lang w:val="en-US" w:eastAsia="zh-CN"/>
              </w:rPr>
              <w:t>未完成</w:t>
            </w:r>
            <w:r>
              <w:rPr>
                <w:rFonts w:hint="eastAsia" w:ascii="Arial" w:hAnsi="Arial" w:cs="Arial"/>
                <w:color w:val="auto"/>
                <w:sz w:val="21"/>
                <w:szCs w:val="21"/>
                <w:lang w:eastAsia="zh-CN"/>
              </w:rPr>
              <w:t>）</w:t>
            </w:r>
            <w:r>
              <w:rPr>
                <w:rFonts w:hint="default" w:ascii="Arial" w:hAnsi="Arial" w:cs="Arial"/>
                <w:color w:val="auto"/>
                <w:sz w:val="21"/>
                <w:szCs w:val="21"/>
              </w:rPr>
              <w:t>，有待下一届冲刺）</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jc w:val="left"/>
              <w:textAlignment w:val="auto"/>
              <w:outlineLvl w:val="9"/>
              <w:rPr>
                <w:rFonts w:hint="default" w:ascii="Arial" w:hAnsi="Arial" w:cs="Arial"/>
                <w:color w:val="auto"/>
                <w:sz w:val="21"/>
                <w:szCs w:val="21"/>
              </w:rPr>
            </w:pP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465"/>
              <w:jc w:val="left"/>
              <w:textAlignment w:val="auto"/>
              <w:outlineLvl w:val="9"/>
              <w:rPr>
                <w:rStyle w:val="26"/>
                <w:rFonts w:hint="default" w:ascii="Arial" w:hAnsi="Arial" w:cs="Arial"/>
                <w:color w:val="auto"/>
                <w:sz w:val="24"/>
                <w:szCs w:val="24"/>
              </w:rPr>
            </w:pPr>
            <w:r>
              <w:rPr>
                <w:rStyle w:val="26"/>
                <w:rFonts w:hint="default" w:ascii="Arial" w:hAnsi="Arial" w:cs="Arial"/>
                <w:color w:val="auto"/>
                <w:sz w:val="24"/>
                <w:szCs w:val="24"/>
              </w:rPr>
              <w:t>分项任务的进展情况：</w:t>
            </w: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1、目标任务完成，部分指标超过。</w:t>
            </w: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四年来，新建省级重点建设学科1个；利用民办大学灵活用人机制，校企合作柔性引进“千人计划”以上的特聘教授1人，</w:t>
            </w:r>
            <w:r>
              <w:rPr>
                <w:rFonts w:hint="default" w:ascii="Arial" w:hAnsi="Arial" w:cs="Arial"/>
                <w:b/>
                <w:bCs/>
                <w:color w:val="auto"/>
                <w:sz w:val="21"/>
                <w:szCs w:val="21"/>
              </w:rPr>
              <w:t>专职与柔性引进“长江学者”等知名专家教授8人</w:t>
            </w:r>
            <w:r>
              <w:rPr>
                <w:rFonts w:hint="default" w:ascii="Arial" w:hAnsi="Arial" w:cs="Arial"/>
                <w:color w:val="auto"/>
                <w:sz w:val="21"/>
                <w:szCs w:val="21"/>
              </w:rPr>
              <w:t>,引进或培养</w:t>
            </w:r>
            <w:r>
              <w:rPr>
                <w:rFonts w:hint="default" w:ascii="Arial" w:hAnsi="Arial" w:cs="Arial"/>
                <w:b/>
                <w:bCs/>
                <w:color w:val="auto"/>
                <w:sz w:val="21"/>
                <w:szCs w:val="21"/>
              </w:rPr>
              <w:t>45岁以下博士或高级职称教师14人</w:t>
            </w:r>
            <w:r>
              <w:rPr>
                <w:rFonts w:hint="default" w:ascii="Arial" w:hAnsi="Arial" w:cs="Arial"/>
                <w:color w:val="auto"/>
                <w:sz w:val="21"/>
                <w:szCs w:val="21"/>
              </w:rPr>
              <w:t>、</w:t>
            </w:r>
            <w:r>
              <w:rPr>
                <w:rFonts w:hint="eastAsia" w:ascii="Arial" w:hAnsi="Arial" w:cs="Arial"/>
                <w:color w:val="auto"/>
                <w:sz w:val="21"/>
                <w:szCs w:val="21"/>
                <w:lang w:val="en-US" w:eastAsia="zh-CN"/>
              </w:rPr>
              <w:t>省级青蓝工程学术带头人1人，</w:t>
            </w:r>
            <w:r>
              <w:rPr>
                <w:rFonts w:hint="default" w:ascii="Arial" w:hAnsi="Arial" w:cs="Arial"/>
                <w:color w:val="auto"/>
                <w:sz w:val="21"/>
                <w:szCs w:val="21"/>
              </w:rPr>
              <w:t>在职博士3人、三级创业咨询师3人，境外研修10人，海外教师来校教研8人次，聘名誉或客座教授4人，企业来校挂职50人次。实现了高端专家团队引领，中青年骨干教师挑大梁的欣欣局面，专业学科同步发展，科研从零起步，四年获得长足发展，国家、省厅级项目8项，企业横向项目多项；教师团队在国内同类高校同类专业名列前茅。</w:t>
            </w:r>
          </w:p>
          <w:p>
            <w:pPr>
              <w:pStyle w:val="21"/>
              <w:keepNext w:val="0"/>
              <w:keepLines w:val="0"/>
              <w:pageBreakBefore w:val="0"/>
              <w:numPr>
                <w:ilvl w:val="0"/>
                <w:numId w:val="1"/>
              </w:numPr>
              <w:kinsoku/>
              <w:wordWrap w:val="0"/>
              <w:overflowPunct/>
              <w:topLinePunct w:val="0"/>
              <w:autoSpaceDE/>
              <w:autoSpaceDN/>
              <w:bidi w:val="0"/>
              <w:adjustRightInd/>
              <w:snapToGrid/>
              <w:spacing w:before="0" w:after="0" w:line="300" w:lineRule="auto"/>
              <w:ind w:left="0" w:leftChars="0"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达到预期目标任务，并在持续规划发展中</w:t>
            </w: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以国家工程教育专业认证的规范，</w:t>
            </w:r>
            <w:r>
              <w:rPr>
                <w:rFonts w:hint="eastAsia" w:ascii="Arial" w:hAnsi="Arial" w:cs="Arial"/>
                <w:color w:val="auto"/>
                <w:sz w:val="21"/>
                <w:szCs w:val="21"/>
                <w:lang w:val="en-US" w:eastAsia="zh-CN"/>
              </w:rPr>
              <w:t>在</w:t>
            </w:r>
            <w:r>
              <w:rPr>
                <w:rFonts w:hint="default" w:ascii="Arial" w:hAnsi="Arial" w:cs="Arial"/>
                <w:color w:val="auto"/>
                <w:sz w:val="21"/>
                <w:szCs w:val="21"/>
              </w:rPr>
              <w:t>修订了2016级、2017级培养方案和教学大纲</w:t>
            </w:r>
            <w:r>
              <w:rPr>
                <w:rFonts w:hint="eastAsia" w:ascii="Arial" w:hAnsi="Arial" w:cs="Arial"/>
                <w:color w:val="auto"/>
                <w:sz w:val="21"/>
                <w:szCs w:val="21"/>
                <w:lang w:val="en-US" w:eastAsia="zh-CN"/>
              </w:rPr>
              <w:t>基础上</w:t>
            </w:r>
            <w:r>
              <w:rPr>
                <w:rFonts w:hint="default" w:ascii="Arial" w:hAnsi="Arial" w:cs="Arial"/>
                <w:color w:val="auto"/>
                <w:sz w:val="21"/>
                <w:szCs w:val="21"/>
              </w:rPr>
              <w:t>，全面优化2018级培养方案和教学大纲，确立了应用型本科</w:t>
            </w:r>
            <w:r>
              <w:rPr>
                <w:rFonts w:hint="eastAsia" w:ascii="Arial" w:hAnsi="Arial" w:cs="Arial"/>
                <w:color w:val="auto"/>
                <w:sz w:val="21"/>
                <w:szCs w:val="21"/>
                <w:lang w:val="en-US" w:eastAsia="zh-CN"/>
              </w:rPr>
              <w:t>的</w:t>
            </w:r>
            <w:r>
              <w:rPr>
                <w:rFonts w:hint="default" w:ascii="Arial" w:hAnsi="Arial" w:cs="Arial"/>
                <w:color w:val="auto"/>
                <w:sz w:val="21"/>
                <w:szCs w:val="21"/>
              </w:rPr>
              <w:t>产教融合、与国际接轨的特色化课程体系；MOOC实际完成6项（按计划MOOC 4项，超额完成2项，其中省级在线开放课程1项），超计划在建MOOC/SPOC等视频共享课程4项；校级优秀课程已结题3门，继续在建2门；按计划任务编写教材10本，已出版7本（其中国家规划教材1部，有影响力校企合作教材4本），已</w:t>
            </w:r>
            <w:r>
              <w:rPr>
                <w:rFonts w:hint="eastAsia" w:ascii="Arial" w:hAnsi="Arial" w:cs="Arial"/>
                <w:color w:val="auto"/>
                <w:sz w:val="21"/>
                <w:szCs w:val="21"/>
                <w:lang w:val="en-US" w:eastAsia="zh-CN"/>
              </w:rPr>
              <w:t>定稿</w:t>
            </w:r>
            <w:r>
              <w:rPr>
                <w:rFonts w:hint="default" w:ascii="Arial" w:hAnsi="Arial" w:cs="Arial"/>
                <w:color w:val="auto"/>
                <w:sz w:val="21"/>
                <w:szCs w:val="21"/>
              </w:rPr>
              <w:t>待出版3本；继续超计划</w:t>
            </w:r>
            <w:r>
              <w:rPr>
                <w:rFonts w:hint="eastAsia" w:ascii="Arial" w:hAnsi="Arial" w:cs="Arial"/>
                <w:color w:val="auto"/>
                <w:sz w:val="21"/>
                <w:szCs w:val="21"/>
                <w:lang w:val="en-US" w:eastAsia="zh-CN"/>
              </w:rPr>
              <w:t>规划系列</w:t>
            </w:r>
            <w:r>
              <w:rPr>
                <w:rFonts w:hint="default" w:ascii="Arial" w:hAnsi="Arial" w:cs="Arial"/>
                <w:color w:val="auto"/>
                <w:sz w:val="21"/>
                <w:szCs w:val="21"/>
              </w:rPr>
              <w:t>在编</w:t>
            </w:r>
            <w:r>
              <w:rPr>
                <w:rFonts w:hint="eastAsia" w:ascii="Arial" w:hAnsi="Arial" w:cs="Arial"/>
                <w:color w:val="auto"/>
                <w:sz w:val="21"/>
                <w:szCs w:val="21"/>
                <w:lang w:val="en-US" w:eastAsia="zh-CN"/>
              </w:rPr>
              <w:t>教材</w:t>
            </w:r>
            <w:r>
              <w:rPr>
                <w:rFonts w:hint="default" w:ascii="Arial" w:hAnsi="Arial" w:cs="Arial"/>
                <w:color w:val="auto"/>
                <w:sz w:val="21"/>
                <w:szCs w:val="21"/>
              </w:rPr>
              <w:t>17本。“互联网+电子信息技术”专业教学资源库建成并投入使用，在</w:t>
            </w:r>
            <w:r>
              <w:rPr>
                <w:rFonts w:hint="eastAsia" w:ascii="Arial" w:hAnsi="Arial" w:cs="Arial"/>
                <w:color w:val="auto"/>
                <w:sz w:val="21"/>
                <w:szCs w:val="21"/>
                <w:lang w:val="en-US" w:eastAsia="zh-CN"/>
              </w:rPr>
              <w:t>继续</w:t>
            </w:r>
            <w:r>
              <w:rPr>
                <w:rFonts w:hint="default" w:ascii="Arial" w:hAnsi="Arial" w:cs="Arial"/>
                <w:color w:val="auto"/>
                <w:sz w:val="21"/>
                <w:szCs w:val="21"/>
              </w:rPr>
              <w:t>优化</w:t>
            </w:r>
            <w:r>
              <w:rPr>
                <w:rFonts w:hint="eastAsia" w:ascii="Arial" w:hAnsi="Arial" w:cs="Arial"/>
                <w:color w:val="auto"/>
                <w:sz w:val="21"/>
                <w:szCs w:val="21"/>
                <w:lang w:val="en-US" w:eastAsia="zh-CN"/>
              </w:rPr>
              <w:t>的同时</w:t>
            </w:r>
            <w:r>
              <w:rPr>
                <w:rFonts w:hint="default" w:ascii="Arial" w:hAnsi="Arial" w:cs="Arial"/>
                <w:color w:val="auto"/>
                <w:sz w:val="21"/>
                <w:szCs w:val="21"/>
              </w:rPr>
              <w:t>，</w:t>
            </w:r>
            <w:r>
              <w:rPr>
                <w:rFonts w:hint="eastAsia" w:ascii="Arial" w:hAnsi="Arial" w:cs="Arial"/>
                <w:color w:val="auto"/>
                <w:sz w:val="21"/>
                <w:szCs w:val="21"/>
                <w:lang w:val="en-US" w:eastAsia="zh-CN"/>
              </w:rPr>
              <w:t>通过校企深度合作渠道，引进企业课程资源，大大超额扩充可利用课程资源库；</w:t>
            </w:r>
            <w:r>
              <w:rPr>
                <w:rFonts w:hint="default" w:ascii="Arial" w:hAnsi="Arial" w:cs="Arial"/>
                <w:color w:val="auto"/>
                <w:sz w:val="21"/>
                <w:szCs w:val="21"/>
              </w:rPr>
              <w:t>其中校企合作共建和引进实践实训网络课程，按计划5门，实际远远超出原计划要求，达20门以上（和华为、北大青鸟、嘉环等企业深度合作）。计划中标志性成果要求：国家级规划教材1部（已完成）、省级重点教材2部（已完成1部）、被同类高校普遍采用的教材3本（已完成4本）。</w:t>
            </w: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3、目标任务完成，部分指标超过</w:t>
            </w: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已建成省级实验教学示范中心2个、国家级工程实践教育基地1个，校企联合实验实训基地6家，完善与优化学院实验实践教学平台（专业技术工程实验中心、专业基础工程实验中心、大学生创新开放实验室），其中创新开放实验室5个；结合专业学科一体化建设，建成三江微电子工程与应用研究院（下设科技成果转化等创新实践中心4个），以及南京创客空间三江学院大学生创新创业基地1个。在同类高校同类专业，具有领先示范地位。</w:t>
            </w: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4、超额完成目标任务</w:t>
            </w:r>
          </w:p>
          <w:p>
            <w:pPr>
              <w:keepNext w:val="0"/>
              <w:keepLines w:val="0"/>
              <w:pageBreakBefore w:val="0"/>
              <w:kinsoku/>
              <w:overflowPunct/>
              <w:topLinePunct w:val="0"/>
              <w:autoSpaceDE/>
              <w:autoSpaceDN/>
              <w:bidi w:val="0"/>
              <w:adjustRightInd/>
              <w:snapToGrid/>
              <w:spacing w:line="300" w:lineRule="auto"/>
              <w:ind w:left="0" w:leftChars="0"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品牌专业建设期间，建成大学生创新开放实验室5个，学生加入英国工程技术学会（IET）会员50人，学生取得各类职业认证证书505人次；学生发表科技论文、专利</w:t>
            </w:r>
            <w:r>
              <w:rPr>
                <w:rFonts w:hint="eastAsia" w:ascii="Arial" w:hAnsi="Arial" w:cs="Arial"/>
                <w:color w:val="auto"/>
                <w:sz w:val="21"/>
                <w:szCs w:val="21"/>
                <w:lang w:val="en-US" w:eastAsia="zh-CN"/>
              </w:rPr>
              <w:t>41项（未达标，但质量较以前大幅度提升）</w:t>
            </w:r>
            <w:r>
              <w:rPr>
                <w:rFonts w:hint="default" w:ascii="Arial" w:hAnsi="Arial" w:cs="Arial"/>
                <w:color w:val="auto"/>
                <w:sz w:val="21"/>
                <w:szCs w:val="21"/>
              </w:rPr>
              <w:t>；组织参加各类大学生创新竞赛，获得国家级奖项</w:t>
            </w:r>
            <w:r>
              <w:rPr>
                <w:rFonts w:hint="eastAsia" w:ascii="Arial" w:hAnsi="Arial" w:cs="Arial"/>
                <w:color w:val="auto"/>
                <w:sz w:val="21"/>
                <w:szCs w:val="21"/>
                <w:lang w:val="en-US" w:eastAsia="zh-CN"/>
              </w:rPr>
              <w:t>14项（超额完成）</w:t>
            </w:r>
            <w:r>
              <w:rPr>
                <w:rFonts w:hint="default" w:ascii="Arial" w:hAnsi="Arial" w:cs="Arial"/>
                <w:color w:val="auto"/>
                <w:sz w:val="21"/>
                <w:szCs w:val="21"/>
              </w:rPr>
              <w:t>、省级奖项</w:t>
            </w:r>
            <w:r>
              <w:rPr>
                <w:rFonts w:hint="eastAsia" w:ascii="Arial" w:hAnsi="Arial" w:cs="Arial"/>
                <w:color w:val="auto"/>
                <w:sz w:val="21"/>
                <w:szCs w:val="21"/>
                <w:lang w:val="en-US" w:eastAsia="zh-CN"/>
              </w:rPr>
              <w:t>46项（基本完成）</w:t>
            </w:r>
            <w:r>
              <w:rPr>
                <w:rFonts w:hint="default" w:ascii="Arial" w:hAnsi="Arial" w:cs="Arial"/>
                <w:color w:val="auto"/>
                <w:sz w:val="21"/>
                <w:szCs w:val="21"/>
              </w:rPr>
              <w:t>；学院承办全国性</w:t>
            </w:r>
            <w:r>
              <w:rPr>
                <w:rFonts w:hint="eastAsia" w:ascii="Arial" w:hAnsi="Arial" w:cs="Arial"/>
                <w:color w:val="auto"/>
                <w:sz w:val="21"/>
                <w:szCs w:val="21"/>
                <w:lang w:val="en-US" w:eastAsia="zh-CN"/>
              </w:rPr>
              <w:t>大学生竞赛</w:t>
            </w:r>
            <w:r>
              <w:rPr>
                <w:rFonts w:hint="default" w:ascii="Arial" w:hAnsi="Arial" w:cs="Arial"/>
                <w:color w:val="auto"/>
                <w:sz w:val="21"/>
                <w:szCs w:val="21"/>
              </w:rPr>
              <w:t>1次、区域性赛事3次，协办中美青年创客大赛1次；积极支持学生开展大学生创新项目，省级51人，校级24人；积极支持学生创业项目，省级8人，校级14人，实际孵化学生创业公司3个，获得大学生创新创业大赛省级二等奖1项，中美青年创客大赛总决赛二等奖1 项（第三名）、三等奖1项（第七名）。</w:t>
            </w: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5、目标任务完成</w:t>
            </w: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和国际上标杆大学深度合作交流，每年的教师互访，互相学生游学，学分置换，以及3+1+2的赴荷兰本硕连读，都进入常态化，前景良好；引进欧洲工程教育模式，开展项目式教学互动已成为范式，有待推广；成为英国IET中国大学合作伙伴，已成功举办四届国际工程英语讲演比赛（三江赛区），举办与协办国内外大学的教学教改交流会议10余次，参加国内国际学术和教学会议30人次；10名教师赴国外标杆大学访问学者或短期教研学习，国外专家来访交流9人次；教师到企业顶岗挂职6人次，教师取得行业资格证书21项，国内访问学者3人，参加国际工程教育培训9人，接待6名留学生来本专业游学各半年，3名本专业学生出国游学，2名学生赴英国攻读硕士。</w:t>
            </w: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和国内战略产业龙头企业---华为技术、中电光伏、隆基光伏、大唐新能源、北大青鸟、杨杰微电子等企业建立联合实训基地等深度校企合作人才培养常态化，联合开设课程、联合指导毕业设计，并进一步把合作升级为华为ICT产业学院、新能源产业学院，更加深度合作办学与对社会服务。</w:t>
            </w: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2016--2018年，具有海外学习经历与继续研究生深造的学生比例持续大于10%，超出任务要求。</w:t>
            </w: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6、部分目标任务超出，部分任务未达标。</w:t>
            </w: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校级教学成果一等奖1项，发表论文96篇，SCI、EI论文17篇；其中科研论文56篇，教改论文40篇，其中涉及思政论文20篇、品牌专业建设的典型论文10篇；获批省级以上教研教改课题15项（其中教育部校企协同育人项目8项）校级14项；获得省级以上教研教改项目超出任务书要求，但省级教学成果奖暂缺。</w:t>
            </w: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优化校校合作、校企融合共建的“学生自主、二次分流”应用型本科专业人才培养模式，形成典型案例，获得本校的固化、优化和推广，对本</w:t>
            </w:r>
            <w:r>
              <w:rPr>
                <w:rFonts w:hint="eastAsia" w:ascii="Arial" w:hAnsi="Arial" w:cs="Arial"/>
                <w:color w:val="auto"/>
                <w:sz w:val="21"/>
                <w:szCs w:val="21"/>
                <w:lang w:val="en-US" w:eastAsia="zh-CN"/>
              </w:rPr>
              <w:t>校</w:t>
            </w:r>
            <w:r>
              <w:rPr>
                <w:rFonts w:hint="default" w:ascii="Arial" w:hAnsi="Arial" w:cs="Arial"/>
                <w:color w:val="auto"/>
                <w:sz w:val="21"/>
                <w:szCs w:val="21"/>
              </w:rPr>
              <w:t>其他</w:t>
            </w:r>
            <w:r>
              <w:rPr>
                <w:rFonts w:hint="eastAsia" w:ascii="Arial" w:hAnsi="Arial" w:cs="Arial"/>
                <w:color w:val="auto"/>
                <w:sz w:val="21"/>
                <w:szCs w:val="21"/>
                <w:lang w:val="en-US" w:eastAsia="zh-CN"/>
              </w:rPr>
              <w:t>相关</w:t>
            </w:r>
            <w:r>
              <w:rPr>
                <w:rFonts w:hint="default" w:ascii="Arial" w:hAnsi="Arial" w:cs="Arial"/>
                <w:color w:val="auto"/>
                <w:sz w:val="21"/>
                <w:szCs w:val="21"/>
              </w:rPr>
              <w:t>专业</w:t>
            </w:r>
            <w:r>
              <w:rPr>
                <w:rFonts w:hint="eastAsia" w:ascii="Arial" w:hAnsi="Arial" w:cs="Arial"/>
                <w:color w:val="auto"/>
                <w:sz w:val="21"/>
                <w:szCs w:val="21"/>
                <w:lang w:val="en-US" w:eastAsia="zh-CN"/>
              </w:rPr>
              <w:t>已经</w:t>
            </w:r>
            <w:r>
              <w:rPr>
                <w:rFonts w:hint="default" w:ascii="Arial" w:hAnsi="Arial" w:cs="Arial"/>
                <w:color w:val="auto"/>
                <w:sz w:val="21"/>
                <w:szCs w:val="21"/>
              </w:rPr>
              <w:t>起到辐射作用，有待继续提炼，冲刺下一届省级以上教学成果奖；</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420" w:firstLineChars="200"/>
              <w:jc w:val="left"/>
              <w:textAlignment w:val="auto"/>
              <w:outlineLvl w:val="9"/>
              <w:rPr>
                <w:rFonts w:hint="default" w:ascii="Arial" w:hAnsi="Arial" w:cs="Arial"/>
                <w:color w:val="auto"/>
                <w:sz w:val="21"/>
                <w:szCs w:val="21"/>
              </w:rPr>
            </w:pP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482" w:firstLineChars="200"/>
              <w:jc w:val="left"/>
              <w:textAlignment w:val="auto"/>
              <w:outlineLvl w:val="9"/>
              <w:rPr>
                <w:rFonts w:hint="default" w:ascii="Arial" w:hAnsi="Arial" w:cs="Arial"/>
                <w:b/>
                <w:color w:val="auto"/>
                <w:sz w:val="21"/>
                <w:szCs w:val="21"/>
              </w:rPr>
            </w:pPr>
            <w:r>
              <w:rPr>
                <w:rFonts w:hint="default" w:ascii="Arial" w:hAnsi="Arial" w:cs="Arial"/>
                <w:b/>
                <w:color w:val="auto"/>
              </w:rPr>
              <w:t>②本专业整体建设水平与主要优势特色</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我院电子信息工程专业是江苏省特色专业，教育部专业综合改革试点单位，电子信息类省“十二五”重点专业类建设项目，学院坚持“大类招生、二次分流”的培养模式。</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75"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本专业整体建设水平与主要优势在于：</w:t>
            </w:r>
          </w:p>
          <w:p>
            <w:pPr>
              <w:pStyle w:val="21"/>
              <w:keepNext w:val="0"/>
              <w:keepLines w:val="0"/>
              <w:pageBreakBefore w:val="0"/>
              <w:widowControl/>
              <w:numPr>
                <w:ilvl w:val="0"/>
                <w:numId w:val="2"/>
              </w:numPr>
              <w:kinsoku/>
              <w:wordWrap w:val="0"/>
              <w:overflowPunct/>
              <w:topLinePunct w:val="0"/>
              <w:autoSpaceDE/>
              <w:autoSpaceDN/>
              <w:bidi w:val="0"/>
              <w:adjustRightInd/>
              <w:snapToGrid/>
              <w:spacing w:before="0" w:after="0" w:line="300" w:lineRule="auto"/>
              <w:ind w:left="0" w:leftChars="0" w:right="75"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教学团队在同类高校同类专业具有明显优势，高屋建瓴的专家团队和教学名师引领，精品课程、精品教材资源丰富，课程内涵建设起点高；中青年博士、副高以上教师团队发展迅速，挑起大梁；专业学科一体同步建设，互动促进，具有后劲。</w:t>
            </w:r>
          </w:p>
          <w:p>
            <w:pPr>
              <w:pStyle w:val="21"/>
              <w:keepNext w:val="0"/>
              <w:keepLines w:val="0"/>
              <w:pageBreakBefore w:val="0"/>
              <w:widowControl/>
              <w:numPr>
                <w:ilvl w:val="0"/>
                <w:numId w:val="2"/>
              </w:numPr>
              <w:kinsoku/>
              <w:wordWrap w:val="0"/>
              <w:overflowPunct/>
              <w:topLinePunct w:val="0"/>
              <w:autoSpaceDE/>
              <w:autoSpaceDN/>
              <w:bidi w:val="0"/>
              <w:adjustRightInd/>
              <w:snapToGrid/>
              <w:spacing w:before="0" w:after="0" w:line="300" w:lineRule="auto"/>
              <w:ind w:left="0" w:leftChars="0" w:right="75"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产教融合基础好，校企合作的教改渠道宽广，实践实训基地资源丰富技术先进，在同类高校同类专业名列前茅；特别是创新组建产教融合的产业学院，为保障工程教学规范，提升学生岗位能力，夯实工程职业素养，为专业输送产业欢迎的应用型人才，具有较好的影响力和前瞻性。</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3、课程教材内涵建设高屋建瓴、有的放矢，具有思想、规划和持续发展性，在应用型本科的专业工程基础系列教材、专业工程实践系列教材、校企合作的专业综合实训教材与在线共享课程资源建设方面，完整的符合国家工程教育认证规范的课程教材体系，站到国内同类高校同类专业的可引领和可推广的前沿地位。</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本专业主要特色如下：</w:t>
            </w:r>
          </w:p>
          <w:p>
            <w:pPr>
              <w:pStyle w:val="21"/>
              <w:keepNext w:val="0"/>
              <w:keepLines w:val="0"/>
              <w:pageBreakBefore w:val="0"/>
              <w:widowControl/>
              <w:numPr>
                <w:ilvl w:val="0"/>
                <w:numId w:val="3"/>
              </w:numPr>
              <w:kinsoku/>
              <w:wordWrap w:val="0"/>
              <w:overflowPunct/>
              <w:topLinePunct w:val="0"/>
              <w:autoSpaceDE/>
              <w:autoSpaceDN/>
              <w:bidi w:val="0"/>
              <w:adjustRightInd/>
              <w:snapToGrid/>
              <w:spacing w:before="0" w:after="0" w:line="300" w:lineRule="auto"/>
              <w:ind w:left="0" w:leftChars="0" w:right="75"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建设思想特色：坚持校企、校校、国际合作，走借力、融合的特色发展之路，效果显著。</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75"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2、培养模式特色：坚持因材施教、分类培养、多元选择、尊重个性，坚守差异化人才培养模式，实行“学生自主、二次分流”，行以生为本之道。</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75"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3、行动规范特色：以国家工程教育认证来规范专业建设行为，指导专业建设与教学、教研、教改活动，重师生、重过程，有条不紊。</w:t>
            </w:r>
          </w:p>
          <w:p>
            <w:pPr>
              <w:keepNext w:val="0"/>
              <w:keepLines w:val="0"/>
              <w:pageBreakBefore w:val="0"/>
              <w:kinsoku/>
              <w:overflowPunct/>
              <w:topLinePunct w:val="0"/>
              <w:autoSpaceDE/>
              <w:autoSpaceDN/>
              <w:bidi w:val="0"/>
              <w:adjustRightInd/>
              <w:snapToGrid/>
              <w:spacing w:line="300" w:lineRule="auto"/>
              <w:ind w:left="0" w:leftChars="0" w:right="71" w:rightChars="34"/>
              <w:textAlignment w:val="auto"/>
              <w:outlineLvl w:val="9"/>
              <w:rPr>
                <w:rFonts w:hint="default" w:ascii="Arial" w:hAnsi="Arial" w:cs="Arial"/>
                <w:color w:val="auto"/>
              </w:rPr>
            </w:pP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75" w:firstLine="482" w:firstLineChars="200"/>
              <w:textAlignment w:val="auto"/>
              <w:outlineLvl w:val="9"/>
              <w:rPr>
                <w:rFonts w:hint="default" w:ascii="Arial" w:hAnsi="Arial" w:cs="Arial"/>
                <w:b/>
                <w:color w:val="auto"/>
              </w:rPr>
            </w:pPr>
            <w:r>
              <w:rPr>
                <w:rFonts w:hint="default" w:ascii="Arial" w:hAnsi="Arial" w:cs="Arial"/>
                <w:b/>
                <w:color w:val="auto"/>
              </w:rPr>
              <w:t>③举措介绍</w:t>
            </w:r>
            <w:r>
              <w:rPr>
                <w:rFonts w:hint="default" w:ascii="Arial" w:hAnsi="Arial" w:cs="Arial"/>
                <w:color w:val="auto"/>
              </w:rPr>
              <w:t>（校内如何引领、国内如何成为标杆、国际如何具有影响）</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75" w:firstLine="422" w:firstLineChars="200"/>
              <w:jc w:val="left"/>
              <w:textAlignment w:val="auto"/>
              <w:outlineLvl w:val="9"/>
              <w:rPr>
                <w:rFonts w:hint="default" w:ascii="Arial" w:hAnsi="Arial" w:cs="Arial"/>
                <w:b/>
                <w:color w:val="auto"/>
              </w:rPr>
            </w:pPr>
            <w:r>
              <w:rPr>
                <w:rFonts w:hint="default" w:ascii="Arial" w:hAnsi="Arial" w:cs="Arial"/>
                <w:b/>
                <w:color w:val="auto"/>
                <w:sz w:val="21"/>
                <w:szCs w:val="21"/>
              </w:rPr>
              <w:t>三江学院是江苏省首个民办大学，一直拥有东南大学、南京大学退休教授和各个部队院校退伍教师来校任教，形成教学骨干力量；但和公办院校相比，师资编制、教学条件和实践环境，具有较大的人力资源瓶颈和设备投入瓶颈；因此，如何突破这些瓶颈，搞好品牌专业建设，使之在同类高校同类专业中脱颖而出，创出一条路来，形成示范效应，其策略和措施就显得特别的重要。正是如此，本专业建设过程中，主要依靠如下举措，才使品牌专业建设得以快速发展，并占据制高点，形成较有权威的影响力。</w:t>
            </w:r>
          </w:p>
          <w:p>
            <w:pPr>
              <w:pStyle w:val="21"/>
              <w:keepNext w:val="0"/>
              <w:keepLines w:val="0"/>
              <w:pageBreakBefore w:val="0"/>
              <w:widowControl/>
              <w:numPr>
                <w:ilvl w:val="0"/>
                <w:numId w:val="4"/>
              </w:numPr>
              <w:kinsoku/>
              <w:wordWrap w:val="0"/>
              <w:overflowPunct/>
              <w:topLinePunct w:val="0"/>
              <w:autoSpaceDE/>
              <w:autoSpaceDN/>
              <w:bidi w:val="0"/>
              <w:adjustRightInd/>
              <w:snapToGrid/>
              <w:spacing w:before="0" w:after="0" w:line="300" w:lineRule="auto"/>
              <w:ind w:left="0" w:leftChars="0"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加速提升专业教师团队建设的措施----</w:t>
            </w:r>
            <w:r>
              <w:rPr>
                <w:rFonts w:hint="default" w:ascii="Arial" w:hAnsi="Arial" w:cs="Arial"/>
                <w:b/>
                <w:bCs/>
                <w:color w:val="auto"/>
                <w:sz w:val="21"/>
                <w:szCs w:val="21"/>
              </w:rPr>
              <w:t>团队建设始终坚持以校企、校校、国际合作为抓手，走借力与融合、专业学科同步的特色发展之路</w:t>
            </w:r>
            <w:r>
              <w:rPr>
                <w:rFonts w:hint="default" w:ascii="Arial" w:hAnsi="Arial" w:cs="Arial"/>
                <w:color w:val="auto"/>
                <w:sz w:val="21"/>
                <w:szCs w:val="21"/>
              </w:rPr>
              <w:t>。始终把打造和加强“高端人才引领、骨干教师支撑、多元结构特色”的师资团队作为最首要任务；</w:t>
            </w:r>
            <w:r>
              <w:rPr>
                <w:rFonts w:hint="default" w:ascii="Arial" w:hAnsi="Arial" w:cs="Arial"/>
                <w:b/>
                <w:bCs/>
                <w:color w:val="auto"/>
                <w:sz w:val="21"/>
                <w:szCs w:val="21"/>
              </w:rPr>
              <w:t>一手抓高屋建瓴的专职兼职教授专家团队</w:t>
            </w:r>
            <w:r>
              <w:rPr>
                <w:rFonts w:hint="default" w:ascii="Arial" w:hAnsi="Arial" w:cs="Arial"/>
                <w:color w:val="auto"/>
                <w:sz w:val="21"/>
                <w:szCs w:val="21"/>
              </w:rPr>
              <w:t>，使得专业建设高屋建瓴，集聚资源、广开渠道，带动和指导中青年教师快步前进；</w:t>
            </w:r>
            <w:r>
              <w:rPr>
                <w:rFonts w:hint="default" w:ascii="Arial" w:hAnsi="Arial" w:cs="Arial"/>
                <w:b/>
                <w:bCs/>
                <w:color w:val="auto"/>
                <w:sz w:val="21"/>
                <w:szCs w:val="21"/>
              </w:rPr>
              <w:t>另一手抓45岁以下博士、副教授中青年专职教师团队</w:t>
            </w:r>
            <w:r>
              <w:rPr>
                <w:rFonts w:hint="default" w:ascii="Arial" w:hAnsi="Arial" w:cs="Arial"/>
                <w:color w:val="auto"/>
                <w:sz w:val="21"/>
                <w:szCs w:val="21"/>
              </w:rPr>
              <w:t>，推动他们加油与快跑，让教授专家的科研、教学的视野、资源与渠道，落地聚焦到中青年教师团队的提升与发展，</w:t>
            </w:r>
            <w:r>
              <w:rPr>
                <w:rFonts w:hint="eastAsia" w:ascii="Arial" w:hAnsi="Arial" w:cs="Arial"/>
                <w:color w:val="auto"/>
                <w:sz w:val="21"/>
                <w:szCs w:val="21"/>
                <w:lang w:val="en-US" w:eastAsia="zh-CN"/>
              </w:rPr>
              <w:t>在</w:t>
            </w:r>
            <w:r>
              <w:rPr>
                <w:rFonts w:hint="default" w:ascii="Arial" w:hAnsi="Arial" w:cs="Arial"/>
                <w:color w:val="auto"/>
                <w:sz w:val="21"/>
                <w:szCs w:val="21"/>
              </w:rPr>
              <w:t>课程、教材与教改建设的实战中</w:t>
            </w:r>
            <w:r>
              <w:rPr>
                <w:rFonts w:hint="eastAsia" w:ascii="Arial" w:hAnsi="Arial" w:cs="Arial"/>
                <w:color w:val="auto"/>
                <w:sz w:val="21"/>
                <w:szCs w:val="21"/>
                <w:lang w:eastAsia="zh-CN"/>
              </w:rPr>
              <w:t>，</w:t>
            </w:r>
            <w:r>
              <w:rPr>
                <w:rFonts w:hint="default" w:ascii="Arial" w:hAnsi="Arial" w:cs="Arial"/>
                <w:color w:val="auto"/>
                <w:sz w:val="21"/>
                <w:szCs w:val="21"/>
              </w:rPr>
              <w:t>大力发展中青年骨干教师的教学团队。</w:t>
            </w:r>
          </w:p>
          <w:p>
            <w:pPr>
              <w:pStyle w:val="21"/>
              <w:keepNext w:val="0"/>
              <w:keepLines w:val="0"/>
              <w:pageBreakBefore w:val="0"/>
              <w:widowControl/>
              <w:numPr>
                <w:ilvl w:val="0"/>
                <w:numId w:val="4"/>
              </w:numPr>
              <w:kinsoku/>
              <w:wordWrap w:val="0"/>
              <w:overflowPunct/>
              <w:topLinePunct w:val="0"/>
              <w:autoSpaceDE/>
              <w:autoSpaceDN/>
              <w:bidi w:val="0"/>
              <w:adjustRightInd/>
              <w:snapToGrid/>
              <w:spacing w:before="0" w:after="0" w:line="300" w:lineRule="auto"/>
              <w:ind w:left="0" w:leftChars="0" w:firstLine="422" w:firstLineChars="200"/>
              <w:jc w:val="left"/>
              <w:textAlignment w:val="auto"/>
              <w:outlineLvl w:val="9"/>
              <w:rPr>
                <w:rFonts w:hint="default" w:ascii="Arial" w:hAnsi="Arial" w:cs="Arial"/>
                <w:color w:val="auto"/>
                <w:sz w:val="21"/>
                <w:szCs w:val="21"/>
              </w:rPr>
            </w:pPr>
            <w:r>
              <w:rPr>
                <w:rFonts w:hint="default" w:ascii="Arial" w:hAnsi="Arial" w:cs="Arial"/>
                <w:b/>
                <w:bCs/>
                <w:color w:val="auto"/>
                <w:sz w:val="21"/>
                <w:szCs w:val="21"/>
              </w:rPr>
              <w:t>课程、教材与教改内涵建设的措施</w:t>
            </w:r>
            <w:r>
              <w:rPr>
                <w:rFonts w:hint="default" w:ascii="Arial" w:hAnsi="Arial" w:cs="Arial"/>
                <w:color w:val="auto"/>
                <w:sz w:val="21"/>
                <w:szCs w:val="21"/>
              </w:rPr>
              <w:t>---利用民办院校灵活的用人机制，引进高屋建瓴的教授专家团队，带动引进培养的中青年骨干教师，有的放矢手把手开展课程、教材与教改内涵建设。特邀和柔性引进国家电工电子基础课程教学指导委员会主任委员、电子信息类国家工程教育认证专家、东南大学王志功教授；电工电子基础课程教学指导委员会秘书长、东南大学孟桥教授；国家实践课程教学名师、江苏省大学生电子设计竞赛负责人、东南大学胡仁杰教授等知名专家实实在在落地，帮助品牌专业建设，重中之重在于指导、引导、带动本专业中青年教师高屋建瓴打造专业工程基础系列课程与教材、专业工程实践系列课程与教材，特别在课程、教材、教改内涵建设实战中，促高层次专家接地气，助本专业青年教师上台阶，有的放矢规划、打造、优化系列课程与教材，具有明显成效。</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firstLine="422" w:firstLineChars="200"/>
              <w:jc w:val="left"/>
              <w:textAlignment w:val="auto"/>
              <w:outlineLvl w:val="9"/>
              <w:rPr>
                <w:rFonts w:hint="default" w:ascii="Arial" w:hAnsi="Arial" w:cs="Arial"/>
                <w:color w:val="auto"/>
                <w:sz w:val="21"/>
                <w:szCs w:val="21"/>
              </w:rPr>
            </w:pPr>
            <w:r>
              <w:rPr>
                <w:rFonts w:hint="default" w:ascii="Arial" w:hAnsi="Arial" w:cs="Arial"/>
                <w:b/>
                <w:bCs/>
                <w:color w:val="auto"/>
                <w:sz w:val="21"/>
                <w:szCs w:val="21"/>
              </w:rPr>
              <w:t>3、建设具有技术领先高度的实践教学条件与示范性平台的措施</w:t>
            </w:r>
            <w:r>
              <w:rPr>
                <w:rFonts w:hint="default" w:ascii="Arial" w:hAnsi="Arial" w:cs="Arial"/>
                <w:color w:val="auto"/>
                <w:sz w:val="21"/>
                <w:szCs w:val="21"/>
              </w:rPr>
              <w:t>----基于原有校企合作资源优势，借品牌专业建设之契机，借助教授专家团队的资源与协助，加大力度和产业龙头企业深度合作，突破性提升实践教学的技术、资源、环境的水平、规模、先进性，使得以生为本、因材施教、分类培养的“学生自主、二次分流”的差异化人才培养模式得以固化、强化、优化；在品牌专业建设期间，我们陆续将华为ICT技术实践实训基地、国家级中点光伏实践教育基地提升为由产业专家教授领衔的校企深度合作的华为ICT产业学院、新能源产业学院，夯实了“1.5+1.5+1”的“学生自主、二次分流”教学模式的硬件与环境基础，融合了企业学校之长，互补规避其短，贴紧地区战略信息产业的人才需求培养应用型本科人才，形成机制，前景广阔。</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firstLine="422" w:firstLineChars="200"/>
              <w:jc w:val="left"/>
              <w:textAlignment w:val="auto"/>
              <w:outlineLvl w:val="9"/>
              <w:rPr>
                <w:rFonts w:hint="default" w:ascii="Arial" w:hAnsi="Arial" w:cs="Arial"/>
                <w:color w:val="auto"/>
                <w:sz w:val="21"/>
                <w:szCs w:val="21"/>
              </w:rPr>
            </w:pPr>
            <w:r>
              <w:rPr>
                <w:rFonts w:hint="default" w:ascii="Arial" w:hAnsi="Arial" w:cs="Arial"/>
                <w:b/>
                <w:bCs/>
                <w:color w:val="auto"/>
                <w:sz w:val="21"/>
                <w:szCs w:val="21"/>
              </w:rPr>
              <w:t>4、加速培养中青年专业带头人与骨干教师团队的措施</w:t>
            </w:r>
            <w:r>
              <w:rPr>
                <w:rFonts w:hint="default" w:ascii="Arial" w:hAnsi="Arial" w:cs="Arial"/>
                <w:color w:val="auto"/>
                <w:sz w:val="21"/>
                <w:szCs w:val="21"/>
              </w:rPr>
              <w:t>----目前的专业带头人团队都是有60岁以上专业领域知名教授担任，为了保障未来专业建设持续性和带头人年轻化，把目前专家教授的资源延续下去、经验传承下去、视野发扬光大，品牌专业建设不是以验收为目标，而是以持续发展为导向；学院一开始就成立品牌专业建设执行小组，挑选中青年骨干任组长挑大梁，专家教授任组员，支持中青年骨干既直接参与品牌专业建设谋划和实践，又增长经验和视野，从实战中接受锻炼和历练；同时，依托学校出台培养与引进中青年博士、副教授的政策措施，专业中青年博士、副教授教师从2015年的1人快速增长到2018年的14人，全部在教学科研第一线，直接参与课程、教材、教改建设，为未来品牌专业建设的持续发展，显示了强大的后劲和希望。</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firstLine="420" w:firstLineChars="200"/>
              <w:jc w:val="left"/>
              <w:textAlignment w:val="auto"/>
              <w:outlineLvl w:val="9"/>
              <w:rPr>
                <w:rFonts w:hint="default" w:ascii="Arial" w:hAnsi="Arial" w:cs="Arial"/>
                <w:color w:val="auto"/>
                <w:sz w:val="21"/>
                <w:szCs w:val="21"/>
              </w:rPr>
            </w:pP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75" w:firstLine="482" w:firstLineChars="200"/>
              <w:jc w:val="left"/>
              <w:textAlignment w:val="auto"/>
              <w:outlineLvl w:val="9"/>
              <w:rPr>
                <w:rFonts w:hint="default" w:ascii="Arial" w:hAnsi="Arial" w:cs="Arial"/>
                <w:b/>
                <w:color w:val="auto"/>
                <w:sz w:val="21"/>
                <w:szCs w:val="21"/>
              </w:rPr>
            </w:pPr>
            <w:r>
              <w:rPr>
                <w:rFonts w:hint="default" w:ascii="Arial" w:hAnsi="Arial" w:cs="Arial"/>
                <w:b/>
                <w:color w:val="auto"/>
              </w:rPr>
              <w:t>④资金使用情况</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75" w:firstLine="480" w:firstLineChars="200"/>
              <w:jc w:val="left"/>
              <w:textAlignment w:val="auto"/>
              <w:outlineLvl w:val="9"/>
              <w:rPr>
                <w:rFonts w:hint="default" w:ascii="Arial" w:hAnsi="Arial" w:cs="Arial"/>
                <w:color w:val="auto"/>
                <w:sz w:val="21"/>
                <w:szCs w:val="21"/>
              </w:rPr>
            </w:pPr>
            <w:r>
              <w:rPr>
                <w:rFonts w:hint="default" w:ascii="Arial" w:hAnsi="Arial" w:cs="Arial"/>
                <w:color w:val="auto"/>
              </w:rPr>
              <w:t xml:space="preserve"> </w:t>
            </w:r>
            <w:r>
              <w:rPr>
                <w:rFonts w:hint="default" w:ascii="Arial" w:hAnsi="Arial" w:cs="Arial"/>
                <w:color w:val="auto"/>
                <w:sz w:val="21"/>
                <w:szCs w:val="21"/>
              </w:rPr>
              <w:t>品牌专业建设期间，品牌专业获得省财政支持经费投入670万，学校等配套经费投入679万元，共计1349万元，符合原计划数要求；且2018年12月31日止，品牌专业共支出使用885万元，其中省财政经费457.663万元，学校与其他配套经费427.3万元。至此，省财政经费结余212.337万元，学校配套经费结余251.7万元，正在用于本品牌专业继续建设中。</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75" w:rightChars="0" w:firstLine="420" w:firstLineChars="200"/>
              <w:jc w:val="left"/>
              <w:textAlignment w:val="auto"/>
              <w:outlineLvl w:val="9"/>
              <w:rPr>
                <w:rFonts w:hint="default" w:ascii="Arial" w:hAnsi="Arial" w:cs="Arial"/>
                <w:color w:val="auto"/>
                <w:sz w:val="21"/>
                <w:szCs w:val="21"/>
              </w:rPr>
            </w:pP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75" w:rightChars="0" w:firstLine="482" w:firstLineChars="200"/>
              <w:jc w:val="left"/>
              <w:textAlignment w:val="auto"/>
              <w:outlineLvl w:val="9"/>
              <w:rPr>
                <w:rFonts w:hint="default" w:ascii="Arial" w:hAnsi="Arial" w:cs="Arial"/>
                <w:b/>
                <w:bCs/>
                <w:color w:val="auto"/>
              </w:rPr>
            </w:pPr>
            <w:r>
              <w:rPr>
                <w:rFonts w:hint="default" w:ascii="Arial" w:hAnsi="Arial" w:cs="Arial"/>
                <w:b/>
                <w:bCs/>
                <w:color w:val="auto"/>
              </w:rPr>
              <w:t>⑥项目建设中存在的主要问题、改进措施，实施心得、意见建议；</w:t>
            </w:r>
          </w:p>
          <w:p>
            <w:pPr>
              <w:pStyle w:val="21"/>
              <w:keepNext w:val="0"/>
              <w:keepLines w:val="0"/>
              <w:pageBreakBefore w:val="0"/>
              <w:widowControl/>
              <w:numPr>
                <w:ilvl w:val="0"/>
                <w:numId w:val="5"/>
              </w:numPr>
              <w:kinsoku/>
              <w:wordWrap w:val="0"/>
              <w:overflowPunct/>
              <w:topLinePunct w:val="0"/>
              <w:autoSpaceDE/>
              <w:autoSpaceDN/>
              <w:bidi w:val="0"/>
              <w:adjustRightInd/>
              <w:snapToGrid/>
              <w:spacing w:before="0" w:after="0" w:line="300" w:lineRule="auto"/>
              <w:ind w:right="75"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主要问题：</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right="75"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（1）教学成果获得省部级以上奖项的标志性成果暂缺。</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right="75"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改进措施：</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坚持国家工程教育认证的客观标准，加强教育、教学和教改研究。发挥知名专家引领作用，凝练和总结校校、校企、国际合作中的创新亮点与成果，主要：（1）针对“产教融合、学生自主、二次选择、分类培养”的专业人才培养模式新经验；（2）针对校企、校校、国际合作的专业课程和教材建设的亮点与经验；争取冲刺下一届省部级以上的教学成果奖等标志性成果。同时，针对相关学科建设中已承担的国家、省级科研项目或校企合作科研进展成果，争取省部级科技成果奖。</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right="75" w:firstLine="420" w:firstLineChars="200"/>
              <w:jc w:val="left"/>
              <w:textAlignment w:val="auto"/>
              <w:outlineLvl w:val="9"/>
              <w:rPr>
                <w:rFonts w:hint="default" w:ascii="Arial" w:hAnsi="Arial" w:cs="Arial" w:eastAsiaTheme="minorEastAsia"/>
                <w:color w:val="auto"/>
                <w:sz w:val="21"/>
                <w:szCs w:val="21"/>
              </w:rPr>
            </w:pPr>
            <w:r>
              <w:rPr>
                <w:rFonts w:hint="default" w:ascii="Arial" w:hAnsi="Arial" w:cs="Arial" w:eastAsiaTheme="minorEastAsia"/>
                <w:color w:val="auto"/>
                <w:sz w:val="21"/>
                <w:szCs w:val="21"/>
              </w:rPr>
              <w:t>（2）对教育、教学、教改的研究需要持续加强，特别是以国家工程教育认证为指南的应用型本科的工程教育深化改革方面，有待不断坚持与提升。</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30" w:right="75" w:firstLine="480"/>
              <w:jc w:val="left"/>
              <w:textAlignment w:val="auto"/>
              <w:outlineLvl w:val="9"/>
              <w:rPr>
                <w:rFonts w:hint="default" w:ascii="Arial" w:hAnsi="Arial" w:cs="Arial" w:eastAsiaTheme="minorEastAsia"/>
                <w:color w:val="auto"/>
                <w:sz w:val="21"/>
                <w:szCs w:val="21"/>
              </w:rPr>
            </w:pPr>
            <w:r>
              <w:rPr>
                <w:rFonts w:hint="default" w:ascii="Arial" w:hAnsi="Arial" w:cs="Arial" w:eastAsiaTheme="minorEastAsia"/>
                <w:color w:val="auto"/>
                <w:sz w:val="21"/>
                <w:szCs w:val="21"/>
              </w:rPr>
              <w:t>改进措施：坚持以德树人的培养方针，首先落实培养什么人的问题；坚持加强国际上应用型本科工程教育的模式借鉴，加强国家工程教育认证的措施落实，继续在以院教学指导委员会主任、“长江学者”、“国家杰青”、国家工程教育指导委员会委员、国家电工电子基础课程教学指导委员会主任、本专业特聘教授王志功教授为总指导的品牌专业国家工程教育认证工作小组领导下，持续开展渗透到教学、教改纵深的工作与活动，不断加强教育领域专家、企业专家的教学指导委员会的引导功能，进一步制定和完善教学研究的管理和激励机制，并从政策和经费上给予支持和保障，进一步加强综合实践课程体系研究与工程实践课程与教材建设，争取早日通过国家工程教育专业认证。</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right="75" w:firstLine="420" w:firstLineChars="200"/>
              <w:jc w:val="left"/>
              <w:textAlignment w:val="auto"/>
              <w:outlineLvl w:val="9"/>
              <w:rPr>
                <w:rFonts w:hint="default" w:ascii="Arial" w:hAnsi="Arial" w:cs="Arial" w:eastAsiaTheme="minorEastAsia"/>
                <w:color w:val="auto"/>
                <w:sz w:val="21"/>
                <w:szCs w:val="21"/>
              </w:rPr>
            </w:pPr>
            <w:r>
              <w:rPr>
                <w:rFonts w:hint="default" w:ascii="Arial" w:hAnsi="Arial" w:cs="Arial" w:eastAsiaTheme="minorEastAsia"/>
                <w:color w:val="auto"/>
                <w:sz w:val="21"/>
                <w:szCs w:val="21"/>
              </w:rPr>
              <w:t>（3）对于三本院校，学生学风问题大面积改进，是品牌专业建设面临的深层次的问题，这是一个系统工程，比教材建设、课程建设，具有深层次的复杂的各种影响，这是教改问题的核心，是校园文化的核心，是教师自我改造提升的核心。</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right="75" w:firstLine="480"/>
              <w:jc w:val="left"/>
              <w:textAlignment w:val="auto"/>
              <w:outlineLvl w:val="9"/>
              <w:rPr>
                <w:rFonts w:hint="default" w:ascii="Arial" w:hAnsi="Arial" w:cs="Arial" w:eastAsiaTheme="minorEastAsia"/>
                <w:color w:val="auto"/>
                <w:sz w:val="21"/>
                <w:szCs w:val="21"/>
              </w:rPr>
            </w:pPr>
            <w:r>
              <w:rPr>
                <w:rFonts w:hint="default" w:ascii="Arial" w:hAnsi="Arial" w:cs="Arial" w:eastAsiaTheme="minorEastAsia"/>
                <w:b/>
                <w:color w:val="auto"/>
                <w:sz w:val="21"/>
                <w:szCs w:val="21"/>
              </w:rPr>
              <w:t>改进措施：</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right="75" w:firstLine="480"/>
              <w:jc w:val="left"/>
              <w:textAlignment w:val="auto"/>
              <w:outlineLvl w:val="9"/>
              <w:rPr>
                <w:rFonts w:hint="default" w:ascii="Arial" w:hAnsi="Arial" w:cs="Arial" w:eastAsiaTheme="minorEastAsia"/>
                <w:color w:val="auto"/>
                <w:sz w:val="21"/>
                <w:szCs w:val="21"/>
              </w:rPr>
            </w:pPr>
            <w:r>
              <w:rPr>
                <w:rFonts w:hint="default" w:ascii="Arial" w:hAnsi="Arial" w:cs="Arial" w:eastAsiaTheme="minorEastAsia"/>
                <w:color w:val="auto"/>
                <w:sz w:val="21"/>
                <w:szCs w:val="21"/>
              </w:rPr>
              <w:t>坚持国家工程教育认证作为品牌专业建设的指南，真正努力以人为本、差异化人才培养的办学理念，培训所有教师深刻领会国家工程教育认证的实质，并贯穿到所有第一课堂、第二课堂之中，从教学模式、教学内容、教学方法、考核方式等方面去不断探索，推进品牌专业建设向着立德树人、教书育人的深层次领域去努力；坚持不懈开展内涵建设，把人才培养质量放在品牌专业建设的首位。</w:t>
            </w:r>
          </w:p>
          <w:p>
            <w:pPr>
              <w:pStyle w:val="21"/>
              <w:keepNext w:val="0"/>
              <w:keepLines w:val="0"/>
              <w:pageBreakBefore w:val="0"/>
              <w:widowControl/>
              <w:numPr>
                <w:ilvl w:val="0"/>
                <w:numId w:val="4"/>
              </w:numPr>
              <w:kinsoku/>
              <w:wordWrap w:val="0"/>
              <w:overflowPunct/>
              <w:topLinePunct w:val="0"/>
              <w:autoSpaceDE/>
              <w:autoSpaceDN/>
              <w:bidi w:val="0"/>
              <w:adjustRightInd/>
              <w:snapToGrid/>
              <w:spacing w:before="0" w:after="0" w:line="300" w:lineRule="auto"/>
              <w:ind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实施心得：</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获得省级品牌专业建设项目的支持，对于民办大学应用型本科专业的成长和蜕变，是难得的机遇和重大的挑战，我们非常珍惜这个机会和挑战，也深知我们和公办大学相比，所存在的师资瓶颈和条件建设的瓶颈；因此，为了不失机会的脱颖而出，我们制定了坚持以校企、校校、国际合作为抓手，走借力与融合、专业学科同步的特色发展之路；我们坚持把师资团队建设放在首位，坚持以校企深度合作建设应用型人才培养的先进实验、实践、实训教学环境和平台，坚持汲取专家团队的教育经验，紧抓课程、教材、教改的内涵建设；所有这些，不是仅仅为了验收，而是为了真正创建学生、家长、社会认同的品牌专业的持续发展，为了借品牌专业建设之契机，借助教授专家团队的资源与协助，加大产业龙头企业深度合作，提升教学的技术、资源、环境的水平、规模、先进性，坚守因材施教、分类培养的“学生自主、二次分流”的差异化人才培养模式，行以生为本之道。</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firstLine="420" w:firstLineChars="200"/>
              <w:jc w:val="left"/>
              <w:textAlignment w:val="auto"/>
              <w:outlineLvl w:val="9"/>
              <w:rPr>
                <w:rFonts w:hint="default" w:ascii="Arial" w:hAnsi="Arial" w:cs="Arial" w:eastAsiaTheme="minorEastAsia"/>
                <w:color w:val="auto"/>
                <w:sz w:val="21"/>
                <w:szCs w:val="21"/>
              </w:rPr>
            </w:pPr>
            <w:r>
              <w:rPr>
                <w:rFonts w:hint="default" w:ascii="Arial" w:hAnsi="Arial" w:cs="Arial" w:eastAsiaTheme="minorEastAsia"/>
                <w:color w:val="auto"/>
                <w:sz w:val="21"/>
                <w:szCs w:val="21"/>
              </w:rPr>
              <w:t>我们决心要全力以赴以国家工程教育认证的客观标准为引领，全力以赴把以生为本、差异化人才培养的办学理念落在实处和细处，努力实现品牌专业毕业生的30%有志者考研、3%有能者创业、50%高品质就业。</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right="75" w:firstLine="480"/>
              <w:jc w:val="left"/>
              <w:textAlignment w:val="auto"/>
              <w:outlineLvl w:val="9"/>
              <w:rPr>
                <w:rFonts w:hint="default" w:ascii="Arial" w:hAnsi="Arial" w:cs="Arial" w:eastAsiaTheme="minorEastAsia"/>
                <w:color w:val="auto"/>
                <w:sz w:val="21"/>
                <w:szCs w:val="21"/>
              </w:rPr>
            </w:pPr>
            <w:r>
              <w:rPr>
                <w:rFonts w:hint="default" w:ascii="Arial" w:hAnsi="Arial" w:cs="Arial" w:eastAsiaTheme="minorEastAsia"/>
                <w:color w:val="auto"/>
                <w:sz w:val="21"/>
                <w:szCs w:val="21"/>
              </w:rPr>
              <w:t>(1)持续实施引进中青年博士、骨干教师计划，加大青年教师到企业挂职培养，推进中青年教师的应用科研与产业服务的能力发展，大力提升学科建设中的中青年博士、骨干教师有生力量，以强大的学科推动品牌专业建设向纵深发展。</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firstLine="315" w:firstLineChars="150"/>
              <w:jc w:val="left"/>
              <w:textAlignment w:val="auto"/>
              <w:outlineLvl w:val="9"/>
              <w:rPr>
                <w:rFonts w:hint="default" w:ascii="Arial" w:hAnsi="Arial" w:cs="Arial" w:eastAsiaTheme="minorEastAsia"/>
                <w:color w:val="auto"/>
                <w:sz w:val="21"/>
                <w:szCs w:val="21"/>
              </w:rPr>
            </w:pPr>
            <w:r>
              <w:rPr>
                <w:rFonts w:hint="default" w:ascii="Arial" w:hAnsi="Arial" w:cs="Arial" w:eastAsiaTheme="minorEastAsia"/>
                <w:color w:val="auto"/>
                <w:sz w:val="21"/>
                <w:szCs w:val="21"/>
              </w:rPr>
              <w:t xml:space="preserve">（2）持续品牌专业建设核心任务，不断加强优化培养方案基础上的核心课程、网络共享课程、实践课程建设，以及配套系列教材建设；在建设中有的放矢地成长教学团队，坚持以生为本、差异化人才培养的系列教育、教学、教改的研究，融入课程模式、教学方法、考核方式的变革中，大幅度提升人才培养能力，提升人才培养质量。  </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firstLine="315" w:firstLineChars="150"/>
              <w:jc w:val="left"/>
              <w:textAlignment w:val="auto"/>
              <w:outlineLvl w:val="9"/>
              <w:rPr>
                <w:rFonts w:hint="default" w:ascii="Arial" w:hAnsi="Arial" w:cs="Arial" w:eastAsiaTheme="minorEastAsia"/>
                <w:color w:val="auto"/>
                <w:sz w:val="21"/>
                <w:szCs w:val="21"/>
              </w:rPr>
            </w:pPr>
            <w:r>
              <w:rPr>
                <w:rFonts w:hint="default" w:ascii="Arial" w:hAnsi="Arial" w:cs="Arial" w:eastAsiaTheme="minorEastAsia"/>
                <w:color w:val="auto"/>
                <w:sz w:val="21"/>
                <w:szCs w:val="21"/>
              </w:rPr>
              <w:t>（3）持续探索校企深度融合办学的路径和模式，特别是围绕校企合作的三大产业学院，探索品牌专业如何伴随企业的一带一路战略的国际化办学前景，与国外标杆大学建立“3+1+2”本硕连读的应用型人才联合培养机制，探索应用型本科品牌专业持续为社会产业提供应用型创新人才的可复制与推广的经验，使本专业持续成为国内同类院校同类专业的示范和标杆。</w:t>
            </w:r>
          </w:p>
          <w:p>
            <w:pPr>
              <w:pStyle w:val="21"/>
              <w:keepNext w:val="0"/>
              <w:keepLines w:val="0"/>
              <w:pageBreakBefore w:val="0"/>
              <w:widowControl/>
              <w:numPr>
                <w:ilvl w:val="0"/>
                <w:numId w:val="4"/>
              </w:numPr>
              <w:kinsoku/>
              <w:wordWrap w:val="0"/>
              <w:overflowPunct/>
              <w:topLinePunct w:val="0"/>
              <w:autoSpaceDE/>
              <w:autoSpaceDN/>
              <w:bidi w:val="0"/>
              <w:adjustRightInd/>
              <w:snapToGrid/>
              <w:spacing w:before="0" w:after="0" w:line="300" w:lineRule="auto"/>
              <w:ind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意见建议：</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firstLine="420" w:firstLineChars="200"/>
              <w:jc w:val="left"/>
              <w:textAlignment w:val="auto"/>
              <w:outlineLvl w:val="9"/>
              <w:rPr>
                <w:rFonts w:hint="default" w:ascii="Arial" w:hAnsi="Arial" w:cs="Arial"/>
                <w:color w:val="auto"/>
              </w:rPr>
            </w:pPr>
            <w:r>
              <w:rPr>
                <w:rFonts w:hint="default" w:ascii="Arial" w:hAnsi="Arial" w:cs="Arial"/>
                <w:color w:val="auto"/>
                <w:sz w:val="21"/>
                <w:szCs w:val="21"/>
              </w:rPr>
              <w:t>期待省厅多给学校、专业一些时间与空间，多让专业建设有些探索和体悟的机会，而不是按任务书“下单炒菜”，按工程图“盖房装修”，机械追求验收结果</w:t>
            </w:r>
            <w:r>
              <w:rPr>
                <w:rFonts w:hint="default" w:ascii="Arial" w:hAnsi="Arial" w:cs="Arial"/>
                <w:color w:val="auto"/>
              </w:rPr>
              <w:t>。</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420" w:firstLineChars="200"/>
              <w:jc w:val="left"/>
              <w:textAlignment w:val="auto"/>
              <w:outlineLvl w:val="9"/>
              <w:rPr>
                <w:rFonts w:hint="default" w:ascii="Arial" w:hAnsi="Arial" w:cs="Arial"/>
                <w:color w:val="auto"/>
                <w:sz w:val="21"/>
                <w:szCs w:val="21"/>
              </w:rPr>
            </w:pP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420" w:firstLineChars="200"/>
              <w:jc w:val="left"/>
              <w:textAlignment w:val="auto"/>
              <w:outlineLvl w:val="9"/>
              <w:rPr>
                <w:rFonts w:hint="default" w:ascii="Arial" w:hAnsi="Arial" w:cs="Arial"/>
                <w:b/>
                <w:color w:val="auto"/>
              </w:rPr>
            </w:pPr>
            <w:r>
              <w:rPr>
                <w:rFonts w:hint="default" w:ascii="Arial" w:hAnsi="Arial" w:cs="Arial"/>
                <w:color w:val="auto"/>
                <w:sz w:val="21"/>
                <w:szCs w:val="21"/>
              </w:rPr>
              <w:br w:type="page"/>
            </w:r>
            <w:r>
              <w:rPr>
                <w:rFonts w:hint="default" w:ascii="Arial" w:hAnsi="Arial" w:cs="Arial"/>
                <w:b/>
                <w:color w:val="auto"/>
              </w:rPr>
              <w:t xml:space="preserve">⑥其他需要说明的问题  </w:t>
            </w:r>
          </w:p>
          <w:p>
            <w:pPr>
              <w:pStyle w:val="21"/>
              <w:wordWrap w:val="0"/>
              <w:spacing w:line="252" w:lineRule="auto"/>
              <w:ind w:firstLine="482" w:firstLineChars="200"/>
              <w:rPr>
                <w:rFonts w:hint="default" w:ascii="Arial" w:hAnsi="Arial" w:cs="Arial"/>
                <w:b/>
                <w:color w:val="auto"/>
              </w:rPr>
            </w:pPr>
          </w:p>
          <w:p>
            <w:pPr>
              <w:pStyle w:val="21"/>
              <w:wordWrap w:val="0"/>
              <w:spacing w:line="252" w:lineRule="auto"/>
              <w:ind w:firstLine="482" w:firstLineChars="200"/>
              <w:rPr>
                <w:rFonts w:hint="default" w:ascii="Arial" w:hAnsi="Arial" w:cs="Arial"/>
                <w:b/>
                <w:color w:val="auto"/>
              </w:rPr>
            </w:pPr>
          </w:p>
        </w:tc>
      </w:tr>
    </w:tbl>
    <w:p>
      <w:pPr>
        <w:widowControl/>
        <w:spacing w:line="300" w:lineRule="auto"/>
        <w:jc w:val="left"/>
        <w:rPr>
          <w:rFonts w:hint="default" w:ascii="Arial" w:hAnsi="Arial" w:eastAsia="黑体" w:cs="Arial"/>
          <w:b/>
          <w:color w:val="auto"/>
          <w:sz w:val="32"/>
          <w:szCs w:val="32"/>
        </w:rPr>
        <w:sectPr>
          <w:headerReference r:id="rId5" w:type="default"/>
          <w:footerReference r:id="rId6" w:type="default"/>
          <w:pgSz w:w="11907" w:h="16840"/>
          <w:pgMar w:top="1134" w:right="1134" w:bottom="1134" w:left="1134" w:header="851" w:footer="992" w:gutter="0"/>
          <w:pgNumType w:start="1"/>
          <w:cols w:space="720" w:num="1"/>
        </w:sectPr>
      </w:pPr>
    </w:p>
    <w:p>
      <w:pPr>
        <w:pStyle w:val="37"/>
        <w:pageBreakBefore/>
        <w:rPr>
          <w:rFonts w:hint="default" w:ascii="Arial" w:hAnsi="Arial" w:cs="Arial"/>
          <w:color w:val="auto"/>
        </w:rPr>
      </w:pPr>
      <w:r>
        <w:rPr>
          <w:rFonts w:hint="default" w:ascii="Arial" w:hAnsi="Arial" w:cs="Arial"/>
          <w:color w:val="auto"/>
        </w:rPr>
        <w:t>二、立项建设以来的任务完成情况</w:t>
      </w:r>
    </w:p>
    <w:tbl>
      <w:tblPr>
        <w:tblStyle w:val="23"/>
        <w:tblW w:w="15260" w:type="dxa"/>
        <w:jc w:val="center"/>
        <w:tblInd w:w="0" w:type="dxa"/>
        <w:tblLayout w:type="fixed"/>
        <w:tblCellMar>
          <w:top w:w="0" w:type="dxa"/>
          <w:left w:w="113" w:type="dxa"/>
          <w:bottom w:w="0" w:type="dxa"/>
          <w:right w:w="113" w:type="dxa"/>
        </w:tblCellMar>
      </w:tblPr>
      <w:tblGrid>
        <w:gridCol w:w="916"/>
        <w:gridCol w:w="5939"/>
        <w:gridCol w:w="6391"/>
        <w:gridCol w:w="2014"/>
      </w:tblGrid>
      <w:tr>
        <w:tblPrEx>
          <w:tblLayout w:type="fixed"/>
          <w:tblCellMar>
            <w:top w:w="0" w:type="dxa"/>
            <w:left w:w="113" w:type="dxa"/>
            <w:bottom w:w="0" w:type="dxa"/>
            <w:right w:w="113" w:type="dxa"/>
          </w:tblCellMar>
        </w:tblPrEx>
        <w:trPr>
          <w:trHeight w:val="734" w:hRule="atLeast"/>
          <w:jc w:val="center"/>
        </w:trPr>
        <w:tc>
          <w:tcPr>
            <w:tcW w:w="916" w:type="dxa"/>
            <w:tcBorders>
              <w:top w:val="single" w:color="000000" w:sz="6" w:space="0"/>
              <w:left w:val="single" w:color="000000" w:sz="6" w:space="0"/>
              <w:bottom w:val="single" w:color="000000" w:sz="6" w:space="0"/>
              <w:right w:val="single" w:color="000000" w:sz="6" w:space="0"/>
            </w:tcBorders>
            <w:vAlign w:val="center"/>
          </w:tcPr>
          <w:p>
            <w:pPr>
              <w:pStyle w:val="21"/>
              <w:wordWrap w:val="0"/>
              <w:spacing w:line="300" w:lineRule="atLeast"/>
              <w:jc w:val="center"/>
              <w:rPr>
                <w:rFonts w:hint="default" w:ascii="Arial" w:hAnsi="Arial" w:cs="Arial"/>
                <w:color w:val="auto"/>
                <w:sz w:val="21"/>
                <w:szCs w:val="21"/>
              </w:rPr>
            </w:pPr>
            <w:r>
              <w:rPr>
                <w:rStyle w:val="26"/>
                <w:rFonts w:hint="default" w:ascii="Arial" w:hAnsi="Arial" w:cs="Arial"/>
                <w:color w:val="auto"/>
                <w:sz w:val="21"/>
                <w:szCs w:val="21"/>
              </w:rPr>
              <w:t>分项任务建设内容</w:t>
            </w:r>
          </w:p>
        </w:tc>
        <w:tc>
          <w:tcPr>
            <w:tcW w:w="5939" w:type="dxa"/>
            <w:tcBorders>
              <w:top w:val="single" w:color="000000" w:sz="6" w:space="0"/>
              <w:left w:val="single" w:color="000000" w:sz="6" w:space="0"/>
              <w:bottom w:val="single" w:color="000000" w:sz="6" w:space="0"/>
              <w:right w:val="single" w:color="000000" w:sz="6" w:space="0"/>
            </w:tcBorders>
            <w:vAlign w:val="center"/>
          </w:tcPr>
          <w:p>
            <w:pPr>
              <w:pStyle w:val="21"/>
              <w:wordWrap w:val="0"/>
              <w:spacing w:line="300" w:lineRule="atLeast"/>
              <w:jc w:val="center"/>
              <w:rPr>
                <w:rFonts w:hint="default" w:ascii="Arial" w:hAnsi="Arial" w:cs="Arial"/>
                <w:color w:val="auto"/>
                <w:sz w:val="21"/>
                <w:szCs w:val="21"/>
              </w:rPr>
            </w:pPr>
            <w:r>
              <w:rPr>
                <w:rFonts w:hint="default" w:ascii="Arial" w:hAnsi="Arial" w:cs="Arial"/>
                <w:b/>
                <w:color w:val="auto"/>
              </w:rPr>
              <w:t>《项目任务书》中2015年-2018年工作计划</w:t>
            </w:r>
            <w:r>
              <w:rPr>
                <w:rStyle w:val="29"/>
                <w:rFonts w:hint="default" w:ascii="Arial" w:hAnsi="Arial" w:cs="Arial"/>
                <w:b/>
                <w:color w:val="auto"/>
                <w:szCs w:val="22"/>
              </w:rPr>
              <w:footnoteReference w:id="0"/>
            </w:r>
          </w:p>
        </w:tc>
        <w:tc>
          <w:tcPr>
            <w:tcW w:w="6391" w:type="dxa"/>
            <w:tcBorders>
              <w:top w:val="single" w:color="000000" w:sz="6" w:space="0"/>
              <w:left w:val="single" w:color="000000" w:sz="6" w:space="0"/>
              <w:bottom w:val="single" w:color="000000" w:sz="6" w:space="0"/>
              <w:right w:val="single" w:color="000000" w:sz="6" w:space="0"/>
            </w:tcBorders>
            <w:vAlign w:val="center"/>
          </w:tcPr>
          <w:p>
            <w:pPr>
              <w:pStyle w:val="21"/>
              <w:wordWrap w:val="0"/>
              <w:spacing w:line="300" w:lineRule="atLeast"/>
              <w:jc w:val="center"/>
              <w:rPr>
                <w:rFonts w:hint="default" w:ascii="Arial" w:hAnsi="Arial" w:cs="Arial"/>
                <w:color w:val="auto"/>
                <w:sz w:val="21"/>
                <w:szCs w:val="21"/>
              </w:rPr>
            </w:pPr>
            <w:bookmarkStart w:id="0" w:name="_ftnref1"/>
            <w:bookmarkEnd w:id="0"/>
            <w:r>
              <w:rPr>
                <w:rFonts w:hint="default" w:ascii="Arial" w:hAnsi="Arial" w:cs="Arial"/>
                <w:b/>
                <w:color w:val="auto"/>
              </w:rPr>
              <w:t>实际完成情况</w:t>
            </w:r>
            <w:r>
              <w:rPr>
                <w:rStyle w:val="29"/>
                <w:rFonts w:hint="default" w:ascii="Arial" w:hAnsi="Arial" w:cs="Arial"/>
                <w:b/>
                <w:color w:val="auto"/>
                <w:szCs w:val="22"/>
              </w:rPr>
              <w:footnoteReference w:id="1"/>
            </w:r>
          </w:p>
        </w:tc>
        <w:tc>
          <w:tcPr>
            <w:tcW w:w="2014" w:type="dxa"/>
            <w:tcBorders>
              <w:top w:val="single" w:color="000000" w:sz="6" w:space="0"/>
              <w:left w:val="single" w:color="000000" w:sz="6" w:space="0"/>
              <w:bottom w:val="single" w:color="000000" w:sz="6" w:space="0"/>
              <w:right w:val="single" w:color="000000" w:sz="6" w:space="0"/>
            </w:tcBorders>
            <w:vAlign w:val="center"/>
          </w:tcPr>
          <w:p>
            <w:pPr>
              <w:pStyle w:val="21"/>
              <w:wordWrap w:val="0"/>
              <w:spacing w:line="300" w:lineRule="atLeast"/>
              <w:jc w:val="center"/>
              <w:rPr>
                <w:rFonts w:hint="default" w:ascii="Arial" w:hAnsi="Arial" w:cs="Arial"/>
                <w:color w:val="auto"/>
                <w:sz w:val="21"/>
                <w:szCs w:val="21"/>
              </w:rPr>
            </w:pPr>
            <w:r>
              <w:rPr>
                <w:rFonts w:hint="default" w:ascii="Arial" w:hAnsi="Arial" w:cs="Arial"/>
                <w:b/>
                <w:color w:val="auto"/>
              </w:rPr>
              <w:t>未完成的计划任务及原因</w:t>
            </w:r>
          </w:p>
        </w:tc>
      </w:tr>
      <w:tr>
        <w:tblPrEx>
          <w:tblLayout w:type="fixed"/>
          <w:tblCellMar>
            <w:top w:w="0" w:type="dxa"/>
            <w:left w:w="113" w:type="dxa"/>
            <w:bottom w:w="0" w:type="dxa"/>
            <w:right w:w="113" w:type="dxa"/>
          </w:tblCellMar>
        </w:tblPrEx>
        <w:trPr>
          <w:trHeight w:val="90" w:hRule="atLeast"/>
          <w:jc w:val="center"/>
        </w:trPr>
        <w:tc>
          <w:tcPr>
            <w:tcW w:w="916" w:type="dxa"/>
            <w:tcBorders>
              <w:top w:val="single" w:color="000000" w:sz="6" w:space="0"/>
              <w:left w:val="single" w:color="000000" w:sz="6" w:space="0"/>
              <w:bottom w:val="single" w:color="000000" w:sz="6" w:space="0"/>
              <w:right w:val="single" w:color="000000" w:sz="6" w:space="0"/>
            </w:tcBorders>
            <w:vAlign w:val="center"/>
          </w:tcPr>
          <w:p>
            <w:pPr>
              <w:pStyle w:val="21"/>
              <w:wordWrap w:val="0"/>
              <w:spacing w:line="300" w:lineRule="atLeast"/>
              <w:jc w:val="center"/>
              <w:rPr>
                <w:rFonts w:hint="default" w:ascii="Arial" w:hAnsi="Arial" w:cs="Arial"/>
                <w:color w:val="auto"/>
                <w:sz w:val="21"/>
                <w:szCs w:val="21"/>
              </w:rPr>
            </w:pPr>
            <w:r>
              <w:rPr>
                <w:rFonts w:hint="default" w:ascii="Arial" w:hAnsi="Arial" w:cs="Arial"/>
                <w:color w:val="auto"/>
                <w:sz w:val="21"/>
                <w:szCs w:val="21"/>
              </w:rPr>
              <w:t>教师</w:t>
            </w:r>
          </w:p>
          <w:p>
            <w:pPr>
              <w:pStyle w:val="21"/>
              <w:wordWrap w:val="0"/>
              <w:spacing w:line="300" w:lineRule="atLeast"/>
              <w:jc w:val="center"/>
              <w:rPr>
                <w:rFonts w:hint="default" w:ascii="Arial" w:hAnsi="Arial" w:cs="Arial"/>
                <w:color w:val="auto"/>
                <w:sz w:val="21"/>
                <w:szCs w:val="21"/>
              </w:rPr>
            </w:pPr>
            <w:r>
              <w:rPr>
                <w:rFonts w:hint="default" w:ascii="Arial" w:hAnsi="Arial" w:cs="Arial"/>
                <w:color w:val="auto"/>
                <w:sz w:val="21"/>
                <w:szCs w:val="21"/>
              </w:rPr>
              <w:t>发展</w:t>
            </w:r>
          </w:p>
          <w:p>
            <w:pPr>
              <w:pStyle w:val="21"/>
              <w:wordWrap w:val="0"/>
              <w:spacing w:line="300" w:lineRule="atLeast"/>
              <w:jc w:val="center"/>
              <w:rPr>
                <w:rFonts w:hint="default" w:ascii="Arial" w:hAnsi="Arial" w:cs="Arial"/>
                <w:color w:val="auto"/>
                <w:sz w:val="21"/>
                <w:szCs w:val="21"/>
              </w:rPr>
            </w:pPr>
            <w:r>
              <w:rPr>
                <w:rFonts w:hint="default" w:ascii="Arial" w:hAnsi="Arial" w:cs="Arial"/>
                <w:color w:val="auto"/>
                <w:sz w:val="21"/>
                <w:szCs w:val="21"/>
              </w:rPr>
              <w:t>与教学团队</w:t>
            </w:r>
          </w:p>
          <w:p>
            <w:pPr>
              <w:pStyle w:val="21"/>
              <w:wordWrap w:val="0"/>
              <w:spacing w:line="300" w:lineRule="atLeast"/>
              <w:jc w:val="center"/>
              <w:rPr>
                <w:rFonts w:hint="default" w:ascii="Arial" w:hAnsi="Arial" w:cs="Arial"/>
                <w:color w:val="auto"/>
                <w:sz w:val="21"/>
                <w:szCs w:val="21"/>
              </w:rPr>
            </w:pPr>
            <w:r>
              <w:rPr>
                <w:rFonts w:hint="default" w:ascii="Arial" w:hAnsi="Arial" w:cs="Arial"/>
                <w:color w:val="auto"/>
                <w:sz w:val="21"/>
                <w:szCs w:val="21"/>
              </w:rPr>
              <w:t>建设</w:t>
            </w:r>
          </w:p>
        </w:tc>
        <w:tc>
          <w:tcPr>
            <w:tcW w:w="5939"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一、2015年</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（1）研究制定“高端人才引领、骨干教师支撑、多元结构特色”的教学团队，建设规划和高水平团队带头人引进与发展计划。建立常设办公室机构，专事品牌专业建设与国家工程教育认证的事务与管理工作。</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（2）国际化师资培养，与国外标杆学校建立战略合作，制定教师互访的海外研修与合作计划。</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（3）建立本专业双师师资标准，建立教师“十三五”发展规划和目标。</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二、2016年</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（1）引进博士或高级职称教师8人，其中省级教学名师1名，海外工程教育专家1名，优化教师团队结构(省级)。</w:t>
            </w:r>
            <w:r>
              <w:rPr>
                <w:rFonts w:hint="default" w:ascii="Arial" w:hAnsi="Arial" w:eastAsia="楷体" w:cs="Arial"/>
                <w:b w:val="0"/>
                <w:bCs/>
                <w:color w:val="auto"/>
                <w:sz w:val="21"/>
                <w:szCs w:val="21"/>
              </w:rPr>
              <w:br w:type="page"/>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（2）2名教师赴海外进行工程教育教学研究，联合科研，开展课程建设。接受2名海外教师来华教研合作。</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（3）1、3名教师到合作企业顶岗挂职，时间不少于6个月。取得职业资格高级培训证书教师不少于5人。2、企业骨干工程师来校挂职，参与课程建设和联合科研5人次。</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三、2017年</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（1）引进“千人计划”的专业带头人1名，引进产业界知名专家2名，增加博士或高级职称教师5人(国家级)。</w:t>
            </w:r>
            <w:r>
              <w:rPr>
                <w:rFonts w:hint="default" w:ascii="Arial" w:hAnsi="Arial" w:eastAsia="楷体" w:cs="Arial"/>
                <w:b w:val="0"/>
                <w:bCs/>
                <w:color w:val="auto"/>
                <w:sz w:val="21"/>
                <w:szCs w:val="21"/>
              </w:rPr>
              <w:br w:type="page"/>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（2）2名教师赴海外进行工程教育教学研究，联合科研，课程建设。接受国外教师来访2人以上。讲授示范课程2门。</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（3）1、3名教师到合作企业顶岗挂职，时间不少于6个月。教师取得职业资格高级培训证书增加10人次。2、企业骨干工程师来校挂职，参与课程建设和联合科研10人次。</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四、2018年</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引进博士或高级职称2人.</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3名专业带头人核心团队成员均具有国内国际产业影响力，专业团队教师80%以上达到双师标准，70%拥有职业资格高级培训证书。入选省级人才工程项目3人。</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专业教师与国内外高校互访、校企合作交流实现制度化和常态化。</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br w:type="page"/>
            </w:r>
          </w:p>
        </w:tc>
        <w:tc>
          <w:tcPr>
            <w:tcW w:w="6391"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br w:type="page"/>
            </w:r>
            <w:r>
              <w:rPr>
                <w:rFonts w:hint="default" w:ascii="Arial" w:hAnsi="Arial" w:cs="Arial"/>
                <w:b/>
                <w:color w:val="auto"/>
                <w:sz w:val="21"/>
                <w:szCs w:val="21"/>
              </w:rPr>
              <w:t>一、2015年</w:t>
            </w:r>
          </w:p>
          <w:p>
            <w:pPr>
              <w:pStyle w:val="33"/>
              <w:keepNext w:val="0"/>
              <w:keepLines w:val="0"/>
              <w:pageBreakBefore w:val="0"/>
              <w:kinsoku/>
              <w:overflowPunct/>
              <w:topLinePunct w:val="0"/>
              <w:autoSpaceDE/>
              <w:autoSpaceDN/>
              <w:bidi w:val="0"/>
              <w:adjustRightInd/>
              <w:snapToGrid/>
              <w:spacing w:line="300" w:lineRule="auto"/>
              <w:ind w:left="0" w:leftChars="0"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1）研究制定“高端人才引领、骨干教师支撑、多元结构特色”的教学团队，建设规划和高水平团队带头人引进与发展计划。建立常设办公室机构，专事品牌专业建设与国家工程教育认证的事务与管理工作。(已完成)</w:t>
            </w:r>
          </w:p>
          <w:p>
            <w:pPr>
              <w:pStyle w:val="33"/>
              <w:keepNext w:val="0"/>
              <w:keepLines w:val="0"/>
              <w:pageBreakBefore w:val="0"/>
              <w:kinsoku/>
              <w:overflowPunct/>
              <w:topLinePunct w:val="0"/>
              <w:autoSpaceDE/>
              <w:autoSpaceDN/>
              <w:bidi w:val="0"/>
              <w:adjustRightInd/>
              <w:snapToGrid/>
              <w:spacing w:line="300" w:lineRule="auto"/>
              <w:ind w:left="0" w:leftChars="0"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（2）国际化师资培养，与国外标杆学校建立战略合作，制定教师互访的海外研修与合作计划。(已完成)</w:t>
            </w:r>
          </w:p>
          <w:p>
            <w:pPr>
              <w:pStyle w:val="33"/>
              <w:keepNext w:val="0"/>
              <w:keepLines w:val="0"/>
              <w:pageBreakBefore w:val="0"/>
              <w:kinsoku/>
              <w:overflowPunct/>
              <w:topLinePunct w:val="0"/>
              <w:autoSpaceDE/>
              <w:autoSpaceDN/>
              <w:bidi w:val="0"/>
              <w:adjustRightInd/>
              <w:snapToGrid/>
              <w:spacing w:line="300" w:lineRule="auto"/>
              <w:ind w:left="0" w:leftChars="0"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（3）建立本专业双师师资标准，建立教师“十三五”发展规划和目标。(已完成)</w:t>
            </w: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textAlignment w:val="auto"/>
              <w:outlineLvl w:val="9"/>
              <w:rPr>
                <w:rFonts w:hint="default" w:ascii="Arial" w:hAnsi="Arial" w:cs="Arial"/>
                <w:b/>
                <w:color w:val="auto"/>
                <w:sz w:val="21"/>
                <w:szCs w:val="21"/>
              </w:rPr>
            </w:pPr>
            <w:r>
              <w:rPr>
                <w:rFonts w:hint="default" w:ascii="Arial" w:hAnsi="Arial" w:cs="Arial"/>
                <w:b/>
                <w:color w:val="auto"/>
                <w:sz w:val="21"/>
                <w:szCs w:val="21"/>
              </w:rPr>
              <w:t>二、2016年</w:t>
            </w:r>
          </w:p>
          <w:p>
            <w:pPr>
              <w:pStyle w:val="33"/>
              <w:keepNext w:val="0"/>
              <w:keepLines w:val="0"/>
              <w:pageBreakBefore w:val="0"/>
              <w:kinsoku/>
              <w:overflowPunct/>
              <w:topLinePunct w:val="0"/>
              <w:autoSpaceDE/>
              <w:autoSpaceDN/>
              <w:bidi w:val="0"/>
              <w:adjustRightInd/>
              <w:snapToGrid/>
              <w:spacing w:line="300" w:lineRule="auto"/>
              <w:ind w:left="0" w:leftChars="0"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（1）引进博士或高级职称教师8人，其中省级教学名师1名，海外工程教育专家1名，优化教师团队结构(省级)。</w:t>
            </w:r>
            <w:r>
              <w:rPr>
                <w:rFonts w:hint="default" w:ascii="Arial" w:hAnsi="Arial" w:cs="Arial"/>
                <w:color w:val="auto"/>
                <w:sz w:val="21"/>
                <w:szCs w:val="21"/>
              </w:rPr>
              <w:br w:type="page"/>
            </w:r>
            <w:r>
              <w:rPr>
                <w:rFonts w:hint="default" w:ascii="Arial" w:hAnsi="Arial" w:cs="Arial"/>
                <w:color w:val="auto"/>
                <w:sz w:val="21"/>
                <w:szCs w:val="21"/>
              </w:rPr>
              <w:t>(已完成)</w:t>
            </w:r>
          </w:p>
          <w:p>
            <w:pPr>
              <w:pStyle w:val="33"/>
              <w:keepNext w:val="0"/>
              <w:keepLines w:val="0"/>
              <w:pageBreakBefore w:val="0"/>
              <w:kinsoku/>
              <w:overflowPunct/>
              <w:topLinePunct w:val="0"/>
              <w:autoSpaceDE/>
              <w:autoSpaceDN/>
              <w:bidi w:val="0"/>
              <w:adjustRightInd/>
              <w:snapToGrid/>
              <w:spacing w:line="300" w:lineRule="auto"/>
              <w:ind w:left="0" w:leftChars="0"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（2）2名教师赴海外进行工程教育教学研究，联合科研，开展课程建设。接受2名海外教师来华教研合作。(已完成)</w:t>
            </w:r>
          </w:p>
          <w:p>
            <w:pPr>
              <w:pStyle w:val="33"/>
              <w:keepNext w:val="0"/>
              <w:keepLines w:val="0"/>
              <w:pageBreakBefore w:val="0"/>
              <w:kinsoku/>
              <w:overflowPunct/>
              <w:topLinePunct w:val="0"/>
              <w:autoSpaceDE/>
              <w:autoSpaceDN/>
              <w:bidi w:val="0"/>
              <w:adjustRightInd/>
              <w:snapToGrid/>
              <w:spacing w:line="300" w:lineRule="auto"/>
              <w:ind w:left="0" w:leftChars="0"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（3）1、3名教师到合作企业顶岗挂职，时间不少于6个月。取得职业资格高级培训证书教师不少于5人。2、企业骨干工程师来校挂职，参与课程建设和联合科研5人次。(已完成)</w:t>
            </w: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textAlignment w:val="auto"/>
              <w:outlineLvl w:val="9"/>
              <w:rPr>
                <w:rFonts w:hint="default" w:ascii="Arial" w:hAnsi="Arial" w:cs="Arial"/>
                <w:b/>
                <w:color w:val="auto"/>
                <w:sz w:val="21"/>
                <w:szCs w:val="21"/>
              </w:rPr>
            </w:pPr>
            <w:r>
              <w:rPr>
                <w:rFonts w:hint="default" w:ascii="Arial" w:hAnsi="Arial" w:cs="Arial"/>
                <w:b/>
                <w:color w:val="auto"/>
                <w:sz w:val="21"/>
                <w:szCs w:val="21"/>
              </w:rPr>
              <w:t>三、2017年</w:t>
            </w:r>
          </w:p>
          <w:p>
            <w:pPr>
              <w:pStyle w:val="33"/>
              <w:keepNext w:val="0"/>
              <w:keepLines w:val="0"/>
              <w:pageBreakBefore w:val="0"/>
              <w:kinsoku/>
              <w:overflowPunct/>
              <w:topLinePunct w:val="0"/>
              <w:autoSpaceDE/>
              <w:autoSpaceDN/>
              <w:bidi w:val="0"/>
              <w:adjustRightInd/>
              <w:snapToGrid/>
              <w:spacing w:line="300" w:lineRule="auto"/>
              <w:ind w:left="0" w:leftChars="0"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（1）引进“千人计划”的专业带头人1名，引进产业界知名专家2名，增加博士或高级职称教师5人。(已完成)</w:t>
            </w:r>
            <w:r>
              <w:rPr>
                <w:rFonts w:hint="default" w:ascii="Arial" w:hAnsi="Arial" w:cs="Arial"/>
                <w:color w:val="auto"/>
                <w:sz w:val="21"/>
                <w:szCs w:val="21"/>
              </w:rPr>
              <w:br w:type="page"/>
            </w:r>
          </w:p>
          <w:p>
            <w:pPr>
              <w:pStyle w:val="33"/>
              <w:keepNext w:val="0"/>
              <w:keepLines w:val="0"/>
              <w:pageBreakBefore w:val="0"/>
              <w:kinsoku/>
              <w:overflowPunct/>
              <w:topLinePunct w:val="0"/>
              <w:autoSpaceDE/>
              <w:autoSpaceDN/>
              <w:bidi w:val="0"/>
              <w:adjustRightInd/>
              <w:snapToGrid/>
              <w:spacing w:line="300" w:lineRule="auto"/>
              <w:ind w:left="0" w:leftChars="0"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（2）2名教师赴海外进行工程教育教学研究，联合科研，课程建设。接受国外教师来访2人以上。讲授示范课程2门。(超额完成)</w:t>
            </w:r>
          </w:p>
          <w:p>
            <w:pPr>
              <w:pStyle w:val="33"/>
              <w:keepNext w:val="0"/>
              <w:keepLines w:val="0"/>
              <w:pageBreakBefore w:val="0"/>
              <w:kinsoku/>
              <w:overflowPunct/>
              <w:topLinePunct w:val="0"/>
              <w:autoSpaceDE/>
              <w:autoSpaceDN/>
              <w:bidi w:val="0"/>
              <w:adjustRightInd/>
              <w:snapToGrid/>
              <w:spacing w:line="300" w:lineRule="auto"/>
              <w:ind w:left="0" w:leftChars="0"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（3）1、3名教师到合作企业顶岗挂职，时间不少于6个月。教师取得职业资格高级培训证书增加10人次。2、企业骨干工程师来校挂职，参与课程建设和联合科研10人次。</w:t>
            </w:r>
            <w:r>
              <w:rPr>
                <w:rFonts w:hint="default" w:ascii="Arial" w:hAnsi="Arial" w:cs="Arial"/>
                <w:color w:val="auto"/>
                <w:sz w:val="21"/>
                <w:szCs w:val="21"/>
              </w:rPr>
              <w:br w:type="page"/>
            </w:r>
            <w:r>
              <w:rPr>
                <w:rFonts w:hint="default" w:ascii="Arial" w:hAnsi="Arial" w:cs="Arial"/>
                <w:color w:val="auto"/>
                <w:sz w:val="21"/>
                <w:szCs w:val="21"/>
              </w:rPr>
              <w:t>(已完成)</w:t>
            </w:r>
          </w:p>
          <w:p>
            <w:pPr>
              <w:pStyle w:val="33"/>
              <w:keepNext w:val="0"/>
              <w:keepLines w:val="0"/>
              <w:pageBreakBefore w:val="0"/>
              <w:kinsoku/>
              <w:overflowPunct/>
              <w:topLinePunct w:val="0"/>
              <w:autoSpaceDE/>
              <w:autoSpaceDN/>
              <w:bidi w:val="0"/>
              <w:adjustRightInd/>
              <w:snapToGrid/>
              <w:spacing w:line="300" w:lineRule="auto"/>
              <w:ind w:right="0" w:rightChars="0" w:firstLine="0" w:firstLineChars="0"/>
              <w:textAlignment w:val="auto"/>
              <w:outlineLvl w:val="9"/>
              <w:rPr>
                <w:rFonts w:hint="default" w:ascii="Arial" w:hAnsi="Arial" w:cs="Arial"/>
                <w:b/>
                <w:bCs/>
                <w:color w:val="auto"/>
                <w:sz w:val="21"/>
                <w:szCs w:val="21"/>
              </w:rPr>
            </w:pPr>
            <w:r>
              <w:rPr>
                <w:rFonts w:hint="default" w:ascii="Arial" w:hAnsi="Arial" w:cs="Arial"/>
                <w:b/>
                <w:bCs/>
                <w:color w:val="auto"/>
                <w:sz w:val="21"/>
                <w:szCs w:val="21"/>
              </w:rPr>
              <w:t>四、2018年</w:t>
            </w:r>
          </w:p>
          <w:p>
            <w:pPr>
              <w:pStyle w:val="33"/>
              <w:keepNext w:val="0"/>
              <w:keepLines w:val="0"/>
              <w:pageBreakBefore w:val="0"/>
              <w:kinsoku/>
              <w:overflowPunct/>
              <w:topLinePunct w:val="0"/>
              <w:autoSpaceDE/>
              <w:autoSpaceDN/>
              <w:bidi w:val="0"/>
              <w:adjustRightInd/>
              <w:snapToGrid/>
              <w:spacing w:line="300" w:lineRule="auto"/>
              <w:ind w:left="315" w:right="0" w:rightChars="0" w:firstLine="0" w:firstLineChars="0"/>
              <w:textAlignment w:val="auto"/>
              <w:outlineLvl w:val="9"/>
              <w:rPr>
                <w:rFonts w:hint="default" w:ascii="Arial" w:hAnsi="Arial" w:cs="Arial"/>
                <w:color w:val="auto"/>
                <w:kern w:val="0"/>
                <w:sz w:val="21"/>
                <w:szCs w:val="21"/>
              </w:rPr>
            </w:pPr>
            <w:r>
              <w:rPr>
                <w:rFonts w:hint="default" w:ascii="Arial" w:hAnsi="Arial" w:cs="Arial"/>
                <w:color w:val="auto"/>
                <w:sz w:val="21"/>
                <w:szCs w:val="21"/>
              </w:rPr>
              <w:t>（1）引进</w:t>
            </w:r>
            <w:r>
              <w:rPr>
                <w:rFonts w:hint="default" w:ascii="Arial" w:hAnsi="Arial" w:cs="Arial"/>
                <w:color w:val="auto"/>
                <w:kern w:val="0"/>
                <w:sz w:val="21"/>
                <w:szCs w:val="21"/>
              </w:rPr>
              <w:t>博士或高级职称2人（已完成）.</w:t>
            </w:r>
          </w:p>
          <w:p>
            <w:pPr>
              <w:pStyle w:val="33"/>
              <w:keepNext w:val="0"/>
              <w:keepLines w:val="0"/>
              <w:pageBreakBefore w:val="0"/>
              <w:kinsoku/>
              <w:overflowPunct/>
              <w:topLinePunct w:val="0"/>
              <w:autoSpaceDE/>
              <w:autoSpaceDN/>
              <w:bidi w:val="0"/>
              <w:adjustRightInd/>
              <w:snapToGrid/>
              <w:spacing w:line="300" w:lineRule="auto"/>
              <w:ind w:left="315" w:right="0" w:rightChars="0" w:firstLine="0" w:firstLineChars="0"/>
              <w:textAlignment w:val="auto"/>
              <w:outlineLvl w:val="9"/>
              <w:rPr>
                <w:rFonts w:hint="default" w:ascii="Arial" w:hAnsi="Arial" w:cs="Arial"/>
                <w:color w:val="auto"/>
                <w:sz w:val="21"/>
                <w:szCs w:val="21"/>
              </w:rPr>
            </w:pPr>
            <w:r>
              <w:rPr>
                <w:rFonts w:hint="default" w:ascii="Arial" w:hAnsi="Arial" w:cs="Arial"/>
                <w:color w:val="auto"/>
                <w:sz w:val="21"/>
                <w:szCs w:val="21"/>
              </w:rPr>
              <w:t>（2）3名专业带头人核心团队成员均具有国内国际产业影响力，</w:t>
            </w:r>
          </w:p>
          <w:p>
            <w:pPr>
              <w:pStyle w:val="33"/>
              <w:keepNext w:val="0"/>
              <w:keepLines w:val="0"/>
              <w:pageBreakBefore w:val="0"/>
              <w:kinsoku/>
              <w:overflowPunct/>
              <w:topLinePunct w:val="0"/>
              <w:autoSpaceDE/>
              <w:autoSpaceDN/>
              <w:bidi w:val="0"/>
              <w:adjustRightInd/>
              <w:snapToGrid/>
              <w:spacing w:line="300" w:lineRule="auto"/>
              <w:ind w:left="0" w:leftChars="0" w:right="0" w:rightChars="0" w:firstLine="0" w:firstLineChars="0"/>
              <w:textAlignment w:val="auto"/>
              <w:outlineLvl w:val="9"/>
              <w:rPr>
                <w:rFonts w:hint="default" w:ascii="Arial" w:hAnsi="Arial" w:cs="Arial"/>
                <w:color w:val="auto"/>
                <w:kern w:val="0"/>
                <w:sz w:val="21"/>
                <w:szCs w:val="21"/>
              </w:rPr>
            </w:pPr>
            <w:r>
              <w:rPr>
                <w:rFonts w:hint="default" w:ascii="Arial" w:hAnsi="Arial" w:cs="Arial"/>
                <w:color w:val="auto"/>
                <w:sz w:val="21"/>
                <w:szCs w:val="21"/>
              </w:rPr>
              <w:t>专业团队教师80%以上达到双师标准，70%拥有职业资格高级培训证书。教师中入选省级人才工程项目有3人。（</w:t>
            </w:r>
            <w:r>
              <w:rPr>
                <w:rFonts w:hint="eastAsia" w:ascii="Arial" w:hAnsi="Arial" w:cs="Arial"/>
                <w:color w:val="auto"/>
                <w:sz w:val="21"/>
                <w:szCs w:val="21"/>
                <w:lang w:val="en-US" w:eastAsia="zh-CN"/>
              </w:rPr>
              <w:t>基本</w:t>
            </w:r>
            <w:r>
              <w:rPr>
                <w:rFonts w:hint="default" w:ascii="Arial" w:hAnsi="Arial" w:cs="Arial"/>
                <w:color w:val="auto"/>
                <w:sz w:val="21"/>
                <w:szCs w:val="21"/>
              </w:rPr>
              <w:t>完成）</w:t>
            </w:r>
          </w:p>
          <w:p>
            <w:pPr>
              <w:pStyle w:val="33"/>
              <w:keepNext w:val="0"/>
              <w:keepLines w:val="0"/>
              <w:pageBreakBefore w:val="0"/>
              <w:numPr>
                <w:ilvl w:val="0"/>
                <w:numId w:val="6"/>
              </w:numPr>
              <w:kinsoku/>
              <w:overflowPunct/>
              <w:topLinePunct w:val="0"/>
              <w:autoSpaceDE/>
              <w:autoSpaceDN/>
              <w:bidi w:val="0"/>
              <w:adjustRightInd/>
              <w:snapToGrid/>
              <w:spacing w:line="300" w:lineRule="auto"/>
              <w:ind w:left="315" w:right="0" w:rightChars="0" w:firstLine="0" w:firstLineChars="0"/>
              <w:textAlignment w:val="auto"/>
              <w:outlineLvl w:val="9"/>
              <w:rPr>
                <w:rFonts w:hint="default" w:ascii="Arial" w:hAnsi="Arial" w:cs="Arial"/>
                <w:color w:val="auto"/>
                <w:sz w:val="21"/>
                <w:szCs w:val="21"/>
              </w:rPr>
            </w:pPr>
            <w:r>
              <w:rPr>
                <w:rFonts w:hint="default" w:ascii="Arial" w:hAnsi="Arial" w:cs="Arial"/>
                <w:color w:val="auto"/>
                <w:sz w:val="21"/>
                <w:szCs w:val="21"/>
              </w:rPr>
              <w:t>专业教师与国内外高校互访、校企合作交流实现制度化和</w:t>
            </w:r>
          </w:p>
          <w:p>
            <w:pPr>
              <w:pStyle w:val="33"/>
              <w:keepNext w:val="0"/>
              <w:keepLines w:val="0"/>
              <w:pageBreakBefore w:val="0"/>
              <w:numPr>
                <w:ilvl w:val="0"/>
                <w:numId w:val="0"/>
              </w:numPr>
              <w:kinsoku/>
              <w:overflowPunct/>
              <w:topLinePunct w:val="0"/>
              <w:autoSpaceDE/>
              <w:autoSpaceDN/>
              <w:bidi w:val="0"/>
              <w:adjustRightInd/>
              <w:snapToGrid/>
              <w:spacing w:line="300" w:lineRule="auto"/>
              <w:ind w:right="0" w:rightChars="0"/>
              <w:textAlignment w:val="auto"/>
              <w:outlineLvl w:val="9"/>
              <w:rPr>
                <w:rFonts w:hint="default" w:ascii="Arial" w:hAnsi="Arial" w:cs="Arial"/>
                <w:color w:val="auto"/>
                <w:kern w:val="0"/>
                <w:sz w:val="21"/>
                <w:szCs w:val="21"/>
              </w:rPr>
            </w:pPr>
            <w:r>
              <w:rPr>
                <w:rFonts w:hint="default" w:ascii="Arial" w:hAnsi="Arial" w:cs="Arial"/>
                <w:color w:val="auto"/>
                <w:sz w:val="21"/>
                <w:szCs w:val="21"/>
              </w:rPr>
              <w:t>常态化。（已完成）</w:t>
            </w:r>
          </w:p>
          <w:p>
            <w:pPr>
              <w:pStyle w:val="33"/>
              <w:keepNext w:val="0"/>
              <w:keepLines w:val="0"/>
              <w:pageBreakBefore w:val="0"/>
              <w:kinsoku/>
              <w:overflowPunct/>
              <w:topLinePunct w:val="0"/>
              <w:autoSpaceDE/>
              <w:autoSpaceDN/>
              <w:bidi w:val="0"/>
              <w:adjustRightInd/>
              <w:snapToGrid/>
              <w:spacing w:line="300" w:lineRule="auto"/>
              <w:ind w:right="0" w:rightChars="0" w:firstLine="0" w:firstLineChars="0"/>
              <w:textAlignment w:val="auto"/>
              <w:outlineLvl w:val="9"/>
              <w:rPr>
                <w:rFonts w:hint="default" w:ascii="Arial" w:hAnsi="Arial" w:cs="Arial"/>
                <w:b/>
                <w:bCs/>
                <w:color w:val="auto"/>
                <w:sz w:val="21"/>
                <w:szCs w:val="21"/>
              </w:rPr>
            </w:pPr>
            <w:r>
              <w:rPr>
                <w:rFonts w:hint="default" w:ascii="Arial" w:hAnsi="Arial" w:cs="Arial"/>
                <w:b/>
                <w:bCs/>
                <w:color w:val="auto"/>
                <w:sz w:val="21"/>
                <w:szCs w:val="21"/>
              </w:rPr>
              <w:t xml:space="preserve"> </w:t>
            </w:r>
          </w:p>
        </w:tc>
        <w:tc>
          <w:tcPr>
            <w:tcW w:w="2014" w:type="dxa"/>
            <w:tcBorders>
              <w:top w:val="single" w:color="000000" w:sz="6" w:space="0"/>
              <w:left w:val="single" w:color="000000" w:sz="6" w:space="0"/>
              <w:bottom w:val="single" w:color="000000" w:sz="6" w:space="0"/>
              <w:right w:val="single" w:color="000000" w:sz="6" w:space="0"/>
            </w:tcBorders>
            <w:vAlign w:val="center"/>
          </w:tcPr>
          <w:p>
            <w:pPr>
              <w:pStyle w:val="21"/>
              <w:wordWrap w:val="0"/>
              <w:spacing w:line="300" w:lineRule="atLeast"/>
              <w:rPr>
                <w:rFonts w:hint="default" w:ascii="Arial" w:hAnsi="Arial" w:cs="Arial"/>
                <w:color w:val="auto"/>
                <w:sz w:val="21"/>
                <w:szCs w:val="21"/>
              </w:rPr>
            </w:pPr>
          </w:p>
        </w:tc>
      </w:tr>
      <w:tr>
        <w:tblPrEx>
          <w:tblLayout w:type="fixed"/>
          <w:tblCellMar>
            <w:top w:w="0" w:type="dxa"/>
            <w:left w:w="113" w:type="dxa"/>
            <w:bottom w:w="0" w:type="dxa"/>
            <w:right w:w="113" w:type="dxa"/>
          </w:tblCellMar>
        </w:tblPrEx>
        <w:trPr>
          <w:trHeight w:val="90" w:hRule="atLeast"/>
          <w:jc w:val="center"/>
        </w:trPr>
        <w:tc>
          <w:tcPr>
            <w:tcW w:w="916" w:type="dxa"/>
            <w:tcBorders>
              <w:top w:val="single" w:color="000000" w:sz="6" w:space="0"/>
              <w:left w:val="single" w:color="000000" w:sz="6" w:space="0"/>
              <w:bottom w:val="single" w:color="000000" w:sz="6" w:space="0"/>
              <w:right w:val="single" w:color="000000" w:sz="6" w:space="0"/>
            </w:tcBorders>
            <w:vAlign w:val="center"/>
          </w:tcPr>
          <w:p>
            <w:pPr>
              <w:pStyle w:val="21"/>
              <w:wordWrap w:val="0"/>
              <w:spacing w:line="300" w:lineRule="atLeast"/>
              <w:jc w:val="center"/>
              <w:rPr>
                <w:rFonts w:hint="default" w:ascii="Arial" w:hAnsi="Arial" w:cs="Arial"/>
                <w:color w:val="auto"/>
                <w:sz w:val="21"/>
                <w:szCs w:val="21"/>
              </w:rPr>
            </w:pPr>
            <w:r>
              <w:rPr>
                <w:rFonts w:hint="default" w:ascii="Arial" w:hAnsi="Arial" w:cs="Arial"/>
                <w:color w:val="auto"/>
                <w:sz w:val="21"/>
                <w:szCs w:val="21"/>
              </w:rPr>
              <w:t>课程</w:t>
            </w:r>
          </w:p>
          <w:p>
            <w:pPr>
              <w:pStyle w:val="21"/>
              <w:wordWrap w:val="0"/>
              <w:spacing w:line="300" w:lineRule="atLeast"/>
              <w:jc w:val="center"/>
              <w:rPr>
                <w:rFonts w:hint="default" w:ascii="Arial" w:hAnsi="Arial" w:cs="Arial"/>
                <w:color w:val="auto"/>
                <w:sz w:val="21"/>
                <w:szCs w:val="21"/>
              </w:rPr>
            </w:pPr>
            <w:r>
              <w:rPr>
                <w:rFonts w:hint="default" w:ascii="Arial" w:hAnsi="Arial" w:cs="Arial"/>
                <w:color w:val="auto"/>
                <w:sz w:val="21"/>
                <w:szCs w:val="21"/>
              </w:rPr>
              <w:t>教材</w:t>
            </w:r>
          </w:p>
          <w:p>
            <w:pPr>
              <w:pStyle w:val="21"/>
              <w:wordWrap w:val="0"/>
              <w:spacing w:line="300" w:lineRule="atLeast"/>
              <w:jc w:val="center"/>
              <w:rPr>
                <w:rFonts w:hint="default" w:ascii="Arial" w:hAnsi="Arial" w:cs="Arial"/>
                <w:color w:val="auto"/>
                <w:sz w:val="21"/>
                <w:szCs w:val="21"/>
              </w:rPr>
            </w:pPr>
            <w:r>
              <w:rPr>
                <w:rFonts w:hint="default" w:ascii="Arial" w:hAnsi="Arial" w:cs="Arial"/>
                <w:color w:val="auto"/>
                <w:sz w:val="21"/>
                <w:szCs w:val="21"/>
              </w:rPr>
              <w:t>资源</w:t>
            </w:r>
          </w:p>
          <w:p>
            <w:pPr>
              <w:pStyle w:val="21"/>
              <w:wordWrap w:val="0"/>
              <w:spacing w:line="300" w:lineRule="atLeast"/>
              <w:jc w:val="center"/>
              <w:rPr>
                <w:rFonts w:hint="default" w:ascii="Arial" w:hAnsi="Arial" w:cs="Arial"/>
                <w:color w:val="auto"/>
                <w:sz w:val="21"/>
                <w:szCs w:val="21"/>
              </w:rPr>
            </w:pPr>
            <w:r>
              <w:rPr>
                <w:rFonts w:hint="default" w:ascii="Arial" w:hAnsi="Arial" w:cs="Arial"/>
                <w:color w:val="auto"/>
                <w:sz w:val="21"/>
                <w:szCs w:val="21"/>
              </w:rPr>
              <w:t>开发</w:t>
            </w:r>
          </w:p>
        </w:tc>
        <w:tc>
          <w:tcPr>
            <w:tcW w:w="5939"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一、2015年</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（1）课程体系建设，建立电子信息工程应用型本科培养产教融合、与国际接轨的特色化课程体系方案。</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（2）特色化课程资源建设：</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1、集聚国内外优质教学资源，搭建“互联网+电子信息技术”专业教学资源库框架和方案；2、启动与合作产业领军企业的联合教研室与网络课程开发工作。</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（3）成立教材编写团队，启动核心课程规划教材编写规划。</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二、2016年</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（1）建成2门MOOC课程，实现校内开放，校外共享。(校级)。</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（2）1、“互联网+电子信息技术”专业教学资源库建设；2、与合作企业联合开发网络课程和实训课程2门。</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（3）专业核心课程教材2门，实训课程教材2门。</w:t>
            </w:r>
            <w:r>
              <w:rPr>
                <w:rFonts w:hint="default" w:ascii="Arial" w:hAnsi="Arial" w:eastAsia="楷体" w:cs="Arial"/>
                <w:b w:val="0"/>
                <w:bCs/>
                <w:color w:val="auto"/>
                <w:sz w:val="21"/>
                <w:szCs w:val="21"/>
              </w:rPr>
              <w:br w:type="page"/>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三、2017年</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（1）新增2门MOOC，实现校内开放，校外共享。(校级)</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（2）1、“互联网+电子信息技术”专业教学资源库建成并投入应用；2、新增与合作企业联合开发的网络课程或实训课程3门。(校级)。</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专业核心课程教材2门，实训课程教材4门。</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四、2018年</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（1）实现主干课程MOOC化、实训课程项目化，实现理论加实践、面授加在线的混合型教学平台的成功运营，并形成示范效应。</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（2）1、建成“互联网+电子信息技术”专业教学资源库，实现校内开放，校外共享；2、国家级以上视频共享课及相应成果1门以上。</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（3）省级以上视频共享课及相应成果2门以上。</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（4）入选国家级规划教材1部。</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（5）省级重点教材2部。</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p>
        </w:tc>
        <w:tc>
          <w:tcPr>
            <w:tcW w:w="6391"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b/>
                <w:color w:val="auto"/>
                <w:sz w:val="21"/>
                <w:szCs w:val="21"/>
              </w:rPr>
            </w:pPr>
            <w:r>
              <w:rPr>
                <w:rFonts w:hint="default" w:ascii="Arial" w:hAnsi="Arial" w:cs="Arial"/>
                <w:b/>
                <w:color w:val="auto"/>
                <w:sz w:val="21"/>
                <w:szCs w:val="21"/>
              </w:rPr>
              <w:t>一、2015年</w:t>
            </w:r>
          </w:p>
          <w:p>
            <w:pPr>
              <w:pStyle w:val="33"/>
              <w:keepNext w:val="0"/>
              <w:keepLines w:val="0"/>
              <w:pageBreakBefore w:val="0"/>
              <w:kinsoku/>
              <w:overflowPunct/>
              <w:topLinePunct w:val="0"/>
              <w:autoSpaceDE/>
              <w:autoSpaceDN/>
              <w:bidi w:val="0"/>
              <w:adjustRightInd/>
              <w:snapToGrid/>
              <w:spacing w:line="300" w:lineRule="auto"/>
              <w:ind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（1）课程体系建设，建立电子信息工程应用型本科培养产教融合、与国际接轨的特色化课程体系方案。</w:t>
            </w:r>
            <w:r>
              <w:rPr>
                <w:rFonts w:hint="default" w:ascii="Arial" w:hAnsi="Arial" w:cs="Arial"/>
                <w:color w:val="auto"/>
                <w:sz w:val="21"/>
                <w:szCs w:val="21"/>
              </w:rPr>
              <w:br w:type="page"/>
            </w:r>
            <w:r>
              <w:rPr>
                <w:rFonts w:hint="default" w:ascii="Arial" w:hAnsi="Arial" w:cs="Arial"/>
                <w:color w:val="auto"/>
                <w:sz w:val="21"/>
                <w:szCs w:val="21"/>
              </w:rPr>
              <w:t>(已完成)</w:t>
            </w:r>
          </w:p>
          <w:p>
            <w:pPr>
              <w:pStyle w:val="33"/>
              <w:keepNext w:val="0"/>
              <w:keepLines w:val="0"/>
              <w:pageBreakBefore w:val="0"/>
              <w:kinsoku/>
              <w:overflowPunct/>
              <w:topLinePunct w:val="0"/>
              <w:autoSpaceDE/>
              <w:autoSpaceDN/>
              <w:bidi w:val="0"/>
              <w:adjustRightInd/>
              <w:snapToGrid/>
              <w:spacing w:line="300" w:lineRule="auto"/>
              <w:ind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（2）特色化课程资源建设：</w:t>
            </w:r>
          </w:p>
          <w:p>
            <w:pPr>
              <w:pStyle w:val="33"/>
              <w:keepNext w:val="0"/>
              <w:keepLines w:val="0"/>
              <w:pageBreakBefore w:val="0"/>
              <w:kinsoku/>
              <w:overflowPunct/>
              <w:topLinePunct w:val="0"/>
              <w:autoSpaceDE/>
              <w:autoSpaceDN/>
              <w:bidi w:val="0"/>
              <w:adjustRightInd/>
              <w:snapToGrid/>
              <w:spacing w:line="300" w:lineRule="auto"/>
              <w:ind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1、集聚国内外优质教学资源，搭建“互联网+电子信息技术”专业教学资源库框架和方案；2、启动与合作产业领军企业的联合教研室与网络课程开发工作。</w:t>
            </w:r>
            <w:r>
              <w:rPr>
                <w:rFonts w:hint="default" w:ascii="Arial" w:hAnsi="Arial" w:cs="Arial"/>
                <w:color w:val="auto"/>
                <w:sz w:val="21"/>
                <w:szCs w:val="21"/>
              </w:rPr>
              <w:br w:type="page"/>
            </w:r>
            <w:r>
              <w:rPr>
                <w:rFonts w:hint="default" w:ascii="Arial" w:hAnsi="Arial" w:cs="Arial"/>
                <w:color w:val="auto"/>
                <w:sz w:val="21"/>
                <w:szCs w:val="21"/>
              </w:rPr>
              <w:t>(已完成)</w:t>
            </w:r>
          </w:p>
          <w:p>
            <w:pPr>
              <w:pStyle w:val="33"/>
              <w:keepNext w:val="0"/>
              <w:keepLines w:val="0"/>
              <w:pageBreakBefore w:val="0"/>
              <w:kinsoku/>
              <w:overflowPunct/>
              <w:topLinePunct w:val="0"/>
              <w:autoSpaceDE/>
              <w:autoSpaceDN/>
              <w:bidi w:val="0"/>
              <w:adjustRightInd/>
              <w:snapToGrid/>
              <w:spacing w:line="300" w:lineRule="auto"/>
              <w:ind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（3）成立教材编写团队，启动核心课程规划教材编写规划。</w:t>
            </w:r>
            <w:r>
              <w:rPr>
                <w:rFonts w:hint="default" w:ascii="Arial" w:hAnsi="Arial" w:cs="Arial"/>
                <w:color w:val="auto"/>
                <w:sz w:val="21"/>
                <w:szCs w:val="21"/>
              </w:rPr>
              <w:br w:type="page"/>
            </w:r>
            <w:r>
              <w:rPr>
                <w:rFonts w:hint="default" w:ascii="Arial" w:hAnsi="Arial" w:cs="Arial"/>
                <w:color w:val="auto"/>
                <w:sz w:val="21"/>
                <w:szCs w:val="21"/>
              </w:rPr>
              <w:t>(已完成)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b/>
                <w:color w:val="auto"/>
                <w:sz w:val="21"/>
                <w:szCs w:val="21"/>
              </w:rPr>
            </w:pPr>
            <w:r>
              <w:rPr>
                <w:rFonts w:hint="default" w:ascii="Arial" w:hAnsi="Arial" w:cs="Arial"/>
                <w:b/>
                <w:color w:val="auto"/>
                <w:sz w:val="21"/>
                <w:szCs w:val="21"/>
              </w:rPr>
              <w:t>二、2016年</w:t>
            </w:r>
          </w:p>
          <w:p>
            <w:pPr>
              <w:pStyle w:val="33"/>
              <w:keepNext w:val="0"/>
              <w:keepLines w:val="0"/>
              <w:pageBreakBefore w:val="0"/>
              <w:kinsoku/>
              <w:overflowPunct/>
              <w:topLinePunct w:val="0"/>
              <w:autoSpaceDE/>
              <w:autoSpaceDN/>
              <w:bidi w:val="0"/>
              <w:adjustRightInd/>
              <w:snapToGrid/>
              <w:spacing w:line="300" w:lineRule="auto"/>
              <w:ind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（1）建成2门MOOC课程，实现校内开放，校外共享。(校级)</w:t>
            </w:r>
          </w:p>
          <w:p>
            <w:pPr>
              <w:keepNext w:val="0"/>
              <w:keepLines w:val="0"/>
              <w:pageBreakBefore w:val="0"/>
              <w:kinsoku/>
              <w:overflowPunct/>
              <w:topLinePunct w:val="0"/>
              <w:autoSpaceDE/>
              <w:autoSpaceDN/>
              <w:bidi w:val="0"/>
              <w:adjustRightInd/>
              <w:snapToGrid/>
              <w:spacing w:line="300" w:lineRule="auto"/>
              <w:ind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br w:type="page"/>
            </w:r>
            <w:r>
              <w:rPr>
                <w:rFonts w:hint="default" w:ascii="Arial" w:hAnsi="Arial" w:cs="Arial"/>
                <w:color w:val="auto"/>
                <w:sz w:val="21"/>
                <w:szCs w:val="21"/>
              </w:rPr>
              <w:t>(已完成)</w:t>
            </w:r>
          </w:p>
          <w:p>
            <w:pPr>
              <w:pStyle w:val="33"/>
              <w:keepNext w:val="0"/>
              <w:keepLines w:val="0"/>
              <w:pageBreakBefore w:val="0"/>
              <w:kinsoku/>
              <w:overflowPunct/>
              <w:topLinePunct w:val="0"/>
              <w:autoSpaceDE/>
              <w:autoSpaceDN/>
              <w:bidi w:val="0"/>
              <w:adjustRightInd/>
              <w:snapToGrid/>
              <w:spacing w:line="300" w:lineRule="auto"/>
              <w:ind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（2）1、“互联网+电子信息技术”专业教学资源库建设；2、与合作企业联合开发网络课程和实训课程2门。</w:t>
            </w:r>
            <w:r>
              <w:rPr>
                <w:rFonts w:hint="default" w:ascii="Arial" w:hAnsi="Arial" w:cs="Arial"/>
                <w:color w:val="auto"/>
                <w:sz w:val="21"/>
                <w:szCs w:val="21"/>
              </w:rPr>
              <w:br w:type="page"/>
            </w:r>
            <w:r>
              <w:rPr>
                <w:rFonts w:hint="default" w:ascii="Arial" w:hAnsi="Arial" w:cs="Arial"/>
                <w:color w:val="auto"/>
                <w:sz w:val="21"/>
                <w:szCs w:val="21"/>
              </w:rPr>
              <w:t>(已完成)</w:t>
            </w:r>
          </w:p>
          <w:p>
            <w:pPr>
              <w:pStyle w:val="33"/>
              <w:keepNext w:val="0"/>
              <w:keepLines w:val="0"/>
              <w:pageBreakBefore w:val="0"/>
              <w:kinsoku/>
              <w:overflowPunct/>
              <w:topLinePunct w:val="0"/>
              <w:autoSpaceDE/>
              <w:autoSpaceDN/>
              <w:bidi w:val="0"/>
              <w:adjustRightInd/>
              <w:snapToGrid/>
              <w:spacing w:line="300" w:lineRule="auto"/>
              <w:ind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（3）专业核心课程教材2门，实训课程教材2门。</w:t>
            </w:r>
            <w:r>
              <w:rPr>
                <w:rFonts w:hint="default" w:ascii="Arial" w:hAnsi="Arial" w:cs="Arial"/>
                <w:color w:val="auto"/>
                <w:sz w:val="21"/>
                <w:szCs w:val="21"/>
              </w:rPr>
              <w:br w:type="page"/>
            </w:r>
            <w:r>
              <w:rPr>
                <w:rFonts w:hint="default" w:ascii="Arial" w:hAnsi="Arial" w:cs="Arial"/>
                <w:color w:val="auto"/>
                <w:sz w:val="21"/>
                <w:szCs w:val="21"/>
              </w:rPr>
              <w:t>(已完成)</w:t>
            </w:r>
            <w:r>
              <w:rPr>
                <w:rFonts w:hint="default" w:ascii="Arial" w:hAnsi="Arial" w:cs="Arial"/>
                <w:color w:val="auto"/>
                <w:sz w:val="21"/>
                <w:szCs w:val="21"/>
              </w:rPr>
              <w:br w:type="page"/>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b/>
                <w:color w:val="auto"/>
                <w:sz w:val="21"/>
                <w:szCs w:val="21"/>
              </w:rPr>
            </w:pPr>
            <w:r>
              <w:rPr>
                <w:rFonts w:hint="default" w:ascii="Arial" w:hAnsi="Arial" w:cs="Arial"/>
                <w:b/>
                <w:color w:val="auto"/>
                <w:sz w:val="21"/>
                <w:szCs w:val="21"/>
              </w:rPr>
              <w:t>三、2017年</w:t>
            </w:r>
          </w:p>
          <w:p>
            <w:pPr>
              <w:pStyle w:val="33"/>
              <w:keepNext w:val="0"/>
              <w:keepLines w:val="0"/>
              <w:pageBreakBefore w:val="0"/>
              <w:kinsoku/>
              <w:overflowPunct/>
              <w:topLinePunct w:val="0"/>
              <w:autoSpaceDE/>
              <w:autoSpaceDN/>
              <w:bidi w:val="0"/>
              <w:adjustRightInd/>
              <w:snapToGrid/>
              <w:spacing w:line="300" w:lineRule="auto"/>
              <w:ind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（1）新增2门MOOC，实现校内开放，校外共享。(校级)。</w:t>
            </w:r>
            <w:r>
              <w:rPr>
                <w:rFonts w:hint="default" w:ascii="Arial" w:hAnsi="Arial" w:cs="Arial"/>
                <w:color w:val="auto"/>
                <w:sz w:val="21"/>
                <w:szCs w:val="21"/>
              </w:rPr>
              <w:br w:type="page"/>
            </w:r>
            <w:r>
              <w:rPr>
                <w:rFonts w:hint="default" w:ascii="Arial" w:hAnsi="Arial" w:cs="Arial"/>
                <w:color w:val="auto"/>
                <w:sz w:val="21"/>
                <w:szCs w:val="21"/>
              </w:rPr>
              <w:br w:type="page"/>
            </w:r>
            <w:r>
              <w:rPr>
                <w:rFonts w:hint="default" w:ascii="Arial" w:hAnsi="Arial" w:cs="Arial"/>
                <w:color w:val="auto"/>
                <w:sz w:val="21"/>
                <w:szCs w:val="21"/>
              </w:rPr>
              <w:t>(已完成)</w:t>
            </w:r>
          </w:p>
          <w:p>
            <w:pPr>
              <w:pStyle w:val="33"/>
              <w:keepNext w:val="0"/>
              <w:keepLines w:val="0"/>
              <w:pageBreakBefore w:val="0"/>
              <w:kinsoku/>
              <w:overflowPunct/>
              <w:topLinePunct w:val="0"/>
              <w:autoSpaceDE/>
              <w:autoSpaceDN/>
              <w:bidi w:val="0"/>
              <w:adjustRightInd/>
              <w:snapToGrid/>
              <w:spacing w:line="300" w:lineRule="auto"/>
              <w:ind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（2）1、“互联网+电子信息技术”专业教学资源库建成并投入应用；2、新增与合作企业联合开发的网络课程或实训课程3门。(校级)。</w:t>
            </w:r>
            <w:r>
              <w:rPr>
                <w:rFonts w:hint="default" w:ascii="Arial" w:hAnsi="Arial" w:cs="Arial"/>
                <w:color w:val="auto"/>
                <w:sz w:val="21"/>
                <w:szCs w:val="21"/>
              </w:rPr>
              <w:br w:type="page"/>
            </w:r>
            <w:r>
              <w:rPr>
                <w:rFonts w:hint="default" w:ascii="Arial" w:hAnsi="Arial" w:cs="Arial"/>
                <w:color w:val="auto"/>
                <w:sz w:val="21"/>
                <w:szCs w:val="21"/>
              </w:rPr>
              <w:t>(已完成)</w:t>
            </w:r>
          </w:p>
          <w:p>
            <w:pPr>
              <w:pStyle w:val="33"/>
              <w:keepNext w:val="0"/>
              <w:keepLines w:val="0"/>
              <w:pageBreakBefore w:val="0"/>
              <w:numPr>
                <w:ilvl w:val="0"/>
                <w:numId w:val="7"/>
              </w:numPr>
              <w:kinsoku/>
              <w:overflowPunct/>
              <w:topLinePunct w:val="0"/>
              <w:autoSpaceDE/>
              <w:autoSpaceDN/>
              <w:bidi w:val="0"/>
              <w:adjustRightInd/>
              <w:snapToGrid/>
              <w:spacing w:line="300" w:lineRule="auto"/>
              <w:ind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专业核心课程教材2门，实训课程教材4门。</w:t>
            </w:r>
            <w:r>
              <w:rPr>
                <w:rFonts w:hint="default" w:ascii="Arial" w:hAnsi="Arial" w:cs="Arial"/>
                <w:color w:val="auto"/>
                <w:sz w:val="21"/>
                <w:szCs w:val="21"/>
              </w:rPr>
              <w:br w:type="page"/>
            </w:r>
            <w:r>
              <w:rPr>
                <w:rFonts w:hint="default" w:ascii="Arial" w:hAnsi="Arial" w:cs="Arial"/>
                <w:color w:val="auto"/>
                <w:sz w:val="21"/>
                <w:szCs w:val="21"/>
              </w:rPr>
              <w:t>(已完成)</w:t>
            </w:r>
          </w:p>
          <w:p>
            <w:pPr>
              <w:pStyle w:val="33"/>
              <w:keepNext w:val="0"/>
              <w:keepLines w:val="0"/>
              <w:pageBreakBefore w:val="0"/>
              <w:kinsoku/>
              <w:overflowPunct/>
              <w:topLinePunct w:val="0"/>
              <w:autoSpaceDE/>
              <w:autoSpaceDN/>
              <w:bidi w:val="0"/>
              <w:adjustRightInd/>
              <w:snapToGrid/>
              <w:spacing w:line="300" w:lineRule="auto"/>
              <w:ind w:right="0" w:rightChars="0" w:firstLine="0" w:firstLineChars="0"/>
              <w:textAlignment w:val="auto"/>
              <w:outlineLvl w:val="9"/>
              <w:rPr>
                <w:rFonts w:hint="default" w:ascii="Arial" w:hAnsi="Arial" w:cs="Arial"/>
                <w:b/>
                <w:bCs/>
                <w:color w:val="auto"/>
                <w:sz w:val="21"/>
                <w:szCs w:val="21"/>
              </w:rPr>
            </w:pPr>
            <w:r>
              <w:rPr>
                <w:rFonts w:hint="default" w:ascii="Arial" w:hAnsi="Arial" w:cs="Arial"/>
                <w:b/>
                <w:bCs/>
                <w:color w:val="auto"/>
                <w:sz w:val="21"/>
                <w:szCs w:val="21"/>
              </w:rPr>
              <w:t>四、2018年</w:t>
            </w:r>
          </w:p>
          <w:p>
            <w:pPr>
              <w:keepNext w:val="0"/>
              <w:keepLines w:val="0"/>
              <w:pageBreakBefore w:val="0"/>
              <w:kinsoku/>
              <w:overflowPunct/>
              <w:topLinePunct w:val="0"/>
              <w:autoSpaceDE/>
              <w:autoSpaceDN/>
              <w:bidi w:val="0"/>
              <w:adjustRightInd/>
              <w:snapToGrid/>
              <w:spacing w:line="300" w:lineRule="auto"/>
              <w:ind w:right="0" w:rightChars="0"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1）实现主干课程MOOC化、实训课程项目化，实现理论加实践、面授加在线的混合型教学平台的成功运营，并形成示范效应。（基本完成，引进多门精品MOOC课程资源，但MOOC化建设与引进仍有待提升，示范效应有待加强，</w:t>
            </w:r>
            <w:r>
              <w:rPr>
                <w:rFonts w:hint="eastAsia" w:ascii="Arial" w:hAnsi="Arial" w:cs="Arial"/>
                <w:color w:val="auto"/>
                <w:sz w:val="21"/>
                <w:szCs w:val="21"/>
                <w:lang w:val="en-US" w:eastAsia="zh-CN"/>
              </w:rPr>
              <w:t>超额规划的</w:t>
            </w:r>
            <w:r>
              <w:rPr>
                <w:rFonts w:hint="default" w:ascii="Arial" w:hAnsi="Arial" w:cs="Arial"/>
                <w:color w:val="auto"/>
                <w:sz w:val="21"/>
                <w:szCs w:val="21"/>
              </w:rPr>
              <w:t>系列化体系化的MOOC</w:t>
            </w:r>
            <w:r>
              <w:rPr>
                <w:rFonts w:hint="eastAsia" w:ascii="Arial" w:hAnsi="Arial" w:cs="Arial"/>
                <w:color w:val="auto"/>
                <w:sz w:val="21"/>
                <w:szCs w:val="21"/>
                <w:lang w:val="en-US" w:eastAsia="zh-CN"/>
              </w:rPr>
              <w:t>\</w:t>
            </w:r>
            <w:r>
              <w:rPr>
                <w:rFonts w:hint="default" w:ascii="Arial" w:hAnsi="Arial" w:cs="Arial"/>
                <w:color w:val="auto"/>
                <w:sz w:val="21"/>
                <w:szCs w:val="21"/>
              </w:rPr>
              <w:t>SPOC、微课课程与教材建设仍在持续有条不紊开发中）</w:t>
            </w:r>
          </w:p>
          <w:p>
            <w:pPr>
              <w:keepNext w:val="0"/>
              <w:keepLines w:val="0"/>
              <w:pageBreakBefore w:val="0"/>
              <w:kinsoku/>
              <w:overflowPunct/>
              <w:topLinePunct w:val="0"/>
              <w:autoSpaceDE/>
              <w:autoSpaceDN/>
              <w:bidi w:val="0"/>
              <w:adjustRightInd/>
              <w:snapToGrid/>
              <w:spacing w:line="300" w:lineRule="auto"/>
              <w:ind w:right="0" w:rightChars="0"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（2）1、建成“互联网+电子信息技术”专业教学资源库，实现校内开放，部分实现校外共享；2、</w:t>
            </w:r>
            <w:r>
              <w:rPr>
                <w:rFonts w:hint="default" w:ascii="Arial" w:hAnsi="Arial" w:cs="Arial"/>
                <w:color w:val="auto"/>
                <w:kern w:val="0"/>
                <w:sz w:val="21"/>
                <w:szCs w:val="21"/>
              </w:rPr>
              <w:t>国家级以上视频共享课及相应成果</w:t>
            </w:r>
            <w:r>
              <w:rPr>
                <w:rFonts w:hint="eastAsia" w:ascii="Arial" w:hAnsi="Arial" w:cs="Arial"/>
                <w:color w:val="auto"/>
                <w:kern w:val="0"/>
                <w:sz w:val="21"/>
                <w:szCs w:val="21"/>
                <w:lang w:val="en-US" w:eastAsia="zh-CN"/>
              </w:rPr>
              <w:t>1门以上</w:t>
            </w:r>
            <w:r>
              <w:rPr>
                <w:rFonts w:hint="eastAsia" w:ascii="Arial" w:hAnsi="Arial" w:cs="Arial"/>
                <w:color w:val="auto"/>
                <w:kern w:val="0"/>
                <w:sz w:val="21"/>
                <w:szCs w:val="21"/>
                <w:lang w:eastAsia="zh-CN"/>
              </w:rPr>
              <w:t>（</w:t>
            </w:r>
            <w:r>
              <w:rPr>
                <w:rFonts w:hint="eastAsia" w:ascii="Arial" w:hAnsi="Arial" w:cs="Arial"/>
                <w:color w:val="auto"/>
                <w:kern w:val="0"/>
                <w:sz w:val="21"/>
                <w:szCs w:val="21"/>
                <w:lang w:val="en-US" w:eastAsia="zh-CN"/>
              </w:rPr>
              <w:t>未完成，</w:t>
            </w:r>
            <w:r>
              <w:rPr>
                <w:rFonts w:hint="default" w:ascii="Arial" w:hAnsi="Arial" w:cs="Arial"/>
                <w:color w:val="auto"/>
                <w:kern w:val="0"/>
                <w:sz w:val="21"/>
                <w:szCs w:val="21"/>
              </w:rPr>
              <w:t>但已通过引进本专业特聘教授孟桥“信号与系统”、李文渊“数字电子技术”的国家在线视频共享课程2门</w:t>
            </w:r>
            <w:r>
              <w:rPr>
                <w:rFonts w:hint="eastAsia" w:ascii="Arial" w:hAnsi="Arial" w:cs="Arial"/>
                <w:color w:val="auto"/>
                <w:kern w:val="0"/>
                <w:sz w:val="21"/>
                <w:szCs w:val="21"/>
                <w:lang w:eastAsia="zh-CN"/>
              </w:rPr>
              <w:t>，</w:t>
            </w:r>
            <w:r>
              <w:rPr>
                <w:rFonts w:hint="eastAsia" w:ascii="Arial" w:hAnsi="Arial" w:cs="Arial"/>
                <w:color w:val="auto"/>
                <w:kern w:val="0"/>
                <w:sz w:val="21"/>
                <w:szCs w:val="21"/>
                <w:lang w:val="en-US" w:eastAsia="zh-CN"/>
              </w:rPr>
              <w:t>正在联合改造并引用中）</w:t>
            </w:r>
            <w:r>
              <w:rPr>
                <w:rFonts w:hint="default" w:ascii="Arial" w:hAnsi="Arial" w:cs="Arial"/>
                <w:color w:val="auto"/>
                <w:sz w:val="21"/>
                <w:szCs w:val="21"/>
              </w:rPr>
              <w:t>。</w:t>
            </w:r>
          </w:p>
          <w:p>
            <w:pPr>
              <w:keepNext w:val="0"/>
              <w:keepLines w:val="0"/>
              <w:pageBreakBefore w:val="0"/>
              <w:kinsoku/>
              <w:overflowPunct/>
              <w:topLinePunct w:val="0"/>
              <w:autoSpaceDE/>
              <w:autoSpaceDN/>
              <w:bidi w:val="0"/>
              <w:adjustRightInd/>
              <w:snapToGrid/>
              <w:spacing w:line="300" w:lineRule="auto"/>
              <w:ind w:right="0" w:rightChars="0"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（3）</w:t>
            </w:r>
            <w:r>
              <w:rPr>
                <w:rFonts w:hint="default" w:ascii="Arial" w:hAnsi="Arial" w:cs="Arial"/>
                <w:color w:val="auto"/>
                <w:kern w:val="0"/>
                <w:sz w:val="21"/>
                <w:szCs w:val="21"/>
              </w:rPr>
              <w:t>省级以上视频共享课及相应成果2门以上</w:t>
            </w:r>
            <w:r>
              <w:rPr>
                <w:rFonts w:hint="default" w:ascii="Arial" w:hAnsi="Arial" w:cs="Arial"/>
                <w:color w:val="auto"/>
                <w:sz w:val="21"/>
                <w:szCs w:val="21"/>
              </w:rPr>
              <w:t>。（</w:t>
            </w:r>
            <w:r>
              <w:rPr>
                <w:rFonts w:hint="eastAsia" w:ascii="Arial" w:hAnsi="Arial" w:cs="Arial"/>
                <w:color w:val="auto"/>
                <w:sz w:val="21"/>
                <w:szCs w:val="21"/>
                <w:lang w:val="en-US" w:eastAsia="zh-CN"/>
              </w:rPr>
              <w:t>1门自主开发省级视频共享课已上线，其他正在</w:t>
            </w:r>
            <w:r>
              <w:rPr>
                <w:rFonts w:hint="default" w:ascii="Arial" w:hAnsi="Arial" w:cs="Arial"/>
                <w:color w:val="auto"/>
                <w:sz w:val="21"/>
                <w:szCs w:val="21"/>
              </w:rPr>
              <w:t>引进完成）</w:t>
            </w:r>
          </w:p>
          <w:p>
            <w:pPr>
              <w:keepNext w:val="0"/>
              <w:keepLines w:val="0"/>
              <w:pageBreakBefore w:val="0"/>
              <w:kinsoku/>
              <w:overflowPunct/>
              <w:topLinePunct w:val="0"/>
              <w:autoSpaceDE/>
              <w:autoSpaceDN/>
              <w:bidi w:val="0"/>
              <w:adjustRightInd/>
              <w:snapToGrid/>
              <w:spacing w:line="300" w:lineRule="auto"/>
              <w:ind w:right="0" w:rightChars="0"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（4）入选国家级规划教材1部。（已完成）</w:t>
            </w:r>
          </w:p>
          <w:p>
            <w:pPr>
              <w:keepNext w:val="0"/>
              <w:keepLines w:val="0"/>
              <w:pageBreakBefore w:val="0"/>
              <w:kinsoku/>
              <w:overflowPunct/>
              <w:topLinePunct w:val="0"/>
              <w:autoSpaceDE/>
              <w:autoSpaceDN/>
              <w:bidi w:val="0"/>
              <w:adjustRightInd/>
              <w:snapToGrid/>
              <w:spacing w:line="300" w:lineRule="auto"/>
              <w:ind w:right="0" w:rightChars="0"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（5）省级重点教材2部。（完成1部）（通过特聘教授，拥有多部省级重点教材</w:t>
            </w:r>
            <w:r>
              <w:rPr>
                <w:rFonts w:hint="eastAsia" w:ascii="Arial" w:hAnsi="Arial" w:cs="Arial"/>
                <w:color w:val="auto"/>
                <w:sz w:val="21"/>
                <w:szCs w:val="21"/>
                <w:lang w:val="en-US" w:eastAsia="zh-CN"/>
              </w:rPr>
              <w:t>资源</w:t>
            </w:r>
            <w:r>
              <w:rPr>
                <w:rFonts w:hint="default" w:ascii="Arial" w:hAnsi="Arial" w:cs="Arial"/>
                <w:color w:val="auto"/>
                <w:sz w:val="21"/>
                <w:szCs w:val="21"/>
              </w:rPr>
              <w:t>）</w:t>
            </w:r>
          </w:p>
          <w:p>
            <w:pPr>
              <w:pStyle w:val="33"/>
              <w:keepNext w:val="0"/>
              <w:keepLines w:val="0"/>
              <w:pageBreakBefore w:val="0"/>
              <w:kinsoku/>
              <w:overflowPunct/>
              <w:topLinePunct w:val="0"/>
              <w:autoSpaceDE/>
              <w:autoSpaceDN/>
              <w:bidi w:val="0"/>
              <w:adjustRightInd/>
              <w:snapToGrid/>
              <w:spacing w:line="300" w:lineRule="auto"/>
              <w:ind w:right="0" w:rightChars="0" w:firstLine="0" w:firstLineChars="0"/>
              <w:textAlignment w:val="auto"/>
              <w:outlineLvl w:val="9"/>
              <w:rPr>
                <w:rFonts w:hint="default" w:ascii="Arial" w:hAnsi="Arial" w:cs="Arial"/>
                <w:color w:val="auto"/>
                <w:sz w:val="21"/>
                <w:szCs w:val="21"/>
              </w:rPr>
            </w:pPr>
          </w:p>
        </w:tc>
        <w:tc>
          <w:tcPr>
            <w:tcW w:w="201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ascii="Arial" w:hAnsi="Arial" w:cs="Arial"/>
                <w:color w:val="auto"/>
                <w:szCs w:val="21"/>
              </w:rPr>
            </w:pPr>
            <w:r>
              <w:rPr>
                <w:rFonts w:hint="default" w:ascii="Arial" w:hAnsi="Arial" w:cs="Arial"/>
                <w:color w:val="auto"/>
                <w:szCs w:val="21"/>
              </w:rPr>
              <w:t>自主开发国家级以上视频课及相应成果暂缺，但引进的孟桥教授“信号与系统”、李文渊教授“赎罪电子技术”课程均属国家级视频共享课，正在协同拓展一版面向应用型本科的视频共享课。</w:t>
            </w:r>
          </w:p>
        </w:tc>
      </w:tr>
      <w:tr>
        <w:tblPrEx>
          <w:tblLayout w:type="fixed"/>
          <w:tblCellMar>
            <w:top w:w="0" w:type="dxa"/>
            <w:left w:w="113" w:type="dxa"/>
            <w:bottom w:w="0" w:type="dxa"/>
            <w:right w:w="113" w:type="dxa"/>
          </w:tblCellMar>
        </w:tblPrEx>
        <w:trPr>
          <w:jc w:val="center"/>
        </w:trPr>
        <w:tc>
          <w:tcPr>
            <w:tcW w:w="916" w:type="dxa"/>
            <w:tcBorders>
              <w:top w:val="single" w:color="000000" w:sz="6" w:space="0"/>
              <w:left w:val="single" w:color="000000" w:sz="6" w:space="0"/>
              <w:bottom w:val="single" w:color="000000" w:sz="6" w:space="0"/>
              <w:right w:val="single" w:color="000000" w:sz="6" w:space="0"/>
            </w:tcBorders>
            <w:vAlign w:val="center"/>
          </w:tcPr>
          <w:p>
            <w:pPr>
              <w:pStyle w:val="21"/>
              <w:wordWrap w:val="0"/>
              <w:spacing w:line="300" w:lineRule="atLeast"/>
              <w:jc w:val="center"/>
              <w:rPr>
                <w:rFonts w:hint="default" w:ascii="Arial" w:hAnsi="Arial" w:cs="Arial"/>
                <w:color w:val="auto"/>
                <w:sz w:val="21"/>
                <w:szCs w:val="21"/>
              </w:rPr>
            </w:pPr>
            <w:r>
              <w:rPr>
                <w:rFonts w:hint="default" w:ascii="Arial" w:hAnsi="Arial" w:cs="Arial"/>
                <w:color w:val="auto"/>
                <w:sz w:val="21"/>
                <w:szCs w:val="21"/>
              </w:rPr>
              <w:t>实验</w:t>
            </w:r>
          </w:p>
          <w:p>
            <w:pPr>
              <w:pStyle w:val="21"/>
              <w:wordWrap w:val="0"/>
              <w:spacing w:line="300" w:lineRule="atLeast"/>
              <w:jc w:val="center"/>
              <w:rPr>
                <w:rFonts w:hint="default" w:ascii="Arial" w:hAnsi="Arial" w:cs="Arial"/>
                <w:color w:val="auto"/>
                <w:sz w:val="21"/>
                <w:szCs w:val="21"/>
              </w:rPr>
            </w:pPr>
            <w:r>
              <w:rPr>
                <w:rFonts w:hint="default" w:ascii="Arial" w:hAnsi="Arial" w:cs="Arial"/>
                <w:color w:val="auto"/>
                <w:sz w:val="21"/>
                <w:szCs w:val="21"/>
              </w:rPr>
              <w:t>实训</w:t>
            </w:r>
          </w:p>
          <w:p>
            <w:pPr>
              <w:pStyle w:val="21"/>
              <w:wordWrap w:val="0"/>
              <w:spacing w:line="300" w:lineRule="atLeast"/>
              <w:jc w:val="center"/>
              <w:rPr>
                <w:rFonts w:hint="default" w:ascii="Arial" w:hAnsi="Arial" w:cs="Arial"/>
                <w:color w:val="auto"/>
                <w:sz w:val="21"/>
                <w:szCs w:val="21"/>
              </w:rPr>
            </w:pPr>
            <w:r>
              <w:rPr>
                <w:rFonts w:hint="default" w:ascii="Arial" w:hAnsi="Arial" w:cs="Arial"/>
                <w:color w:val="auto"/>
                <w:sz w:val="21"/>
                <w:szCs w:val="21"/>
              </w:rPr>
              <w:t>条件</w:t>
            </w:r>
          </w:p>
          <w:p>
            <w:pPr>
              <w:pStyle w:val="21"/>
              <w:wordWrap w:val="0"/>
              <w:spacing w:line="300" w:lineRule="atLeast"/>
              <w:jc w:val="center"/>
              <w:rPr>
                <w:rFonts w:hint="default" w:ascii="Arial" w:hAnsi="Arial" w:cs="Arial"/>
                <w:color w:val="auto"/>
                <w:sz w:val="21"/>
                <w:szCs w:val="21"/>
              </w:rPr>
            </w:pPr>
            <w:r>
              <w:rPr>
                <w:rFonts w:hint="default" w:ascii="Arial" w:hAnsi="Arial" w:cs="Arial"/>
                <w:color w:val="auto"/>
                <w:sz w:val="21"/>
                <w:szCs w:val="21"/>
              </w:rPr>
              <w:t>建设</w:t>
            </w:r>
          </w:p>
        </w:tc>
        <w:tc>
          <w:tcPr>
            <w:tcW w:w="5939"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一、2015年</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（1）加强建设已有的省级实践教育示范中心（通信与电子实践教育中心）和国家级大学生实践基地（三江学院-中电电气（南京）光伏有限公司工程实践教育中心）。</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2）1、落实面向应用型本科的国内技术领先的三江学院/华为新一代移动互联技术实训基地等5个实训基地的建设规划与方案。2、实现其中2个基地的软硬件条件资源落实，加强校企合作机制建设和制度建设；其中1个基地实现对内教学实训、对外培训服务的综合平台功能，提高在产业与区域服务中的知名度。</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二、</w:t>
            </w:r>
            <w:r>
              <w:rPr>
                <w:rFonts w:hint="default" w:ascii="Arial" w:hAnsi="Arial" w:eastAsia="楷体" w:cs="Arial"/>
                <w:b w:val="0"/>
                <w:bCs/>
                <w:color w:val="auto"/>
                <w:sz w:val="21"/>
                <w:szCs w:val="21"/>
              </w:rPr>
              <w:br w:type="page"/>
            </w:r>
            <w:r>
              <w:rPr>
                <w:rFonts w:hint="default" w:ascii="Arial" w:hAnsi="Arial" w:eastAsia="楷体" w:cs="Arial"/>
                <w:b w:val="0"/>
                <w:bCs/>
                <w:color w:val="auto"/>
                <w:sz w:val="21"/>
                <w:szCs w:val="21"/>
              </w:rPr>
              <w:t>2016年</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（1）省级实践教育示范中心（通信与电子实践教育中心）项目结题，在国家级大学生实践基地（三江学院-中电电气（南京）光伏有限公司工程实践教育中心）基础上</w:t>
            </w:r>
            <w:r>
              <w:rPr>
                <w:rFonts w:hint="eastAsia" w:ascii="Arial" w:hAnsi="Arial" w:eastAsia="楷体" w:cs="Arial"/>
                <w:b w:val="0"/>
                <w:bCs/>
                <w:color w:val="auto"/>
                <w:sz w:val="21"/>
                <w:szCs w:val="21"/>
                <w:lang w:eastAsia="zh-CN"/>
              </w:rPr>
              <w:t>，</w:t>
            </w:r>
            <w:r>
              <w:rPr>
                <w:rFonts w:hint="default" w:ascii="Arial" w:hAnsi="Arial" w:eastAsia="楷体" w:cs="Arial"/>
                <w:b w:val="0"/>
                <w:bCs/>
                <w:color w:val="auto"/>
                <w:sz w:val="21"/>
                <w:szCs w:val="21"/>
              </w:rPr>
              <w:t>建成校企深度融合的光伏光电人才培养工程实训中心、联合教研室、社会服务平台，在国内应用型本科院校中产生示范效果。</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（2）建立国际技术领先的国内首家微电子工程与设备维护人才实验实训基地。</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（3）与合作企业开发实训课程，开展工程应用服务，拓展教学培训项目，积累典型案例，加强校企深度融合、联合培养人才的模式创新。</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三、</w:t>
            </w:r>
            <w:r>
              <w:rPr>
                <w:rFonts w:hint="default" w:ascii="Arial" w:hAnsi="Arial" w:eastAsia="楷体" w:cs="Arial"/>
                <w:b w:val="0"/>
                <w:bCs/>
                <w:color w:val="auto"/>
                <w:sz w:val="21"/>
                <w:szCs w:val="21"/>
              </w:rPr>
              <w:br w:type="page"/>
            </w:r>
            <w:r>
              <w:rPr>
                <w:rFonts w:hint="default" w:ascii="Arial" w:hAnsi="Arial" w:eastAsia="楷体" w:cs="Arial"/>
                <w:b w:val="0"/>
                <w:bCs/>
                <w:color w:val="auto"/>
                <w:sz w:val="21"/>
                <w:szCs w:val="21"/>
              </w:rPr>
              <w:t>2017年</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（1）FPGA应用创新联合实验室建立并投入使用。</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（2）智慧硬件与DAB数字广播实训中心正常运行并对社会服务，获得省级科技进步奖1项。(省级)。</w:t>
            </w:r>
            <w:r>
              <w:rPr>
                <w:rFonts w:hint="default" w:ascii="Arial" w:hAnsi="Arial" w:eastAsia="楷体" w:cs="Arial"/>
                <w:b w:val="0"/>
                <w:bCs/>
                <w:color w:val="auto"/>
                <w:sz w:val="21"/>
                <w:szCs w:val="21"/>
              </w:rPr>
              <w:br w:type="page"/>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（3）继续推进各实验实训基地建设，与合作企业开发新课程，开展工程应用服务。</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四、2018年</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（1）5个实验实训基地的常态化运作与发展，其中一个获得国家级工程教育实践基地1个。</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（2）省级实验教学示范中心2个常态化运作；获得省级工程中心1个。</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p>
        </w:tc>
        <w:tc>
          <w:tcPr>
            <w:tcW w:w="6391"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b/>
                <w:color w:val="auto"/>
                <w:sz w:val="21"/>
                <w:szCs w:val="21"/>
              </w:rPr>
            </w:pPr>
            <w:r>
              <w:rPr>
                <w:rFonts w:hint="default" w:ascii="Arial" w:hAnsi="Arial" w:cs="Arial"/>
                <w:b/>
                <w:color w:val="auto"/>
                <w:sz w:val="21"/>
                <w:szCs w:val="21"/>
              </w:rPr>
              <w:t>一、2015年</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（1）加强建设已有的省级实践教育示范中心（通信与电子实践教育中心）和国家级大学生实践基地（三江学院-中电电气（南京）光伏有限公司工程实践教育中心）。(已完成)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210" w:firstLineChars="100"/>
              <w:textAlignment w:val="auto"/>
              <w:outlineLvl w:val="9"/>
              <w:rPr>
                <w:rFonts w:hint="default" w:ascii="Arial" w:hAnsi="Arial" w:cs="Arial"/>
                <w:color w:val="auto"/>
                <w:sz w:val="21"/>
                <w:szCs w:val="21"/>
              </w:rPr>
            </w:pPr>
            <w:r>
              <w:rPr>
                <w:rFonts w:hint="default" w:ascii="Arial" w:hAnsi="Arial" w:cs="Arial"/>
                <w:color w:val="auto"/>
                <w:sz w:val="21"/>
                <w:szCs w:val="21"/>
              </w:rPr>
              <w:t>（2）1、落实面向应用型本科的国内技术领先的三江学院/华为新一代移动互联技术实训基地等5个实训基地的建设规划与方案。2、实现其中2个基地的软硬件条件资源落实，加强校企合作机制建设和制度建设；其中1个基地实现对内教学实训、对外培训服务的综合平台功能，提高在产业与区域服务中的知名度。(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b/>
                <w:color w:val="auto"/>
                <w:sz w:val="21"/>
                <w:szCs w:val="21"/>
              </w:rPr>
            </w:pPr>
            <w:r>
              <w:rPr>
                <w:rFonts w:hint="default" w:ascii="Arial" w:hAnsi="Arial" w:cs="Arial"/>
                <w:b/>
                <w:color w:val="auto"/>
                <w:sz w:val="21"/>
                <w:szCs w:val="21"/>
              </w:rPr>
              <w:t>二、</w:t>
            </w:r>
            <w:r>
              <w:rPr>
                <w:rFonts w:hint="default" w:ascii="Arial" w:hAnsi="Arial" w:cs="Arial"/>
                <w:b/>
                <w:color w:val="auto"/>
                <w:sz w:val="21"/>
                <w:szCs w:val="21"/>
              </w:rPr>
              <w:br w:type="page"/>
            </w:r>
            <w:r>
              <w:rPr>
                <w:rFonts w:hint="default" w:ascii="Arial" w:hAnsi="Arial" w:cs="Arial"/>
                <w:b/>
                <w:color w:val="auto"/>
                <w:sz w:val="21"/>
                <w:szCs w:val="21"/>
              </w:rPr>
              <w:t>2016年</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1）省级实践教育示范中心（通信与电子实践教育中心）项目结题，在国家级大学生实践基地（三江学院-中电电气（南京）光伏有限公司工程实践教育中心）基础上建成校企深度融合的光伏光电人才培养工程实训中心、联合教研室、社会服务平台，在国内应用型本科院校中产生示范效果。(已完成</w:t>
            </w:r>
            <w:r>
              <w:rPr>
                <w:rFonts w:hint="eastAsia" w:ascii="Arial" w:hAnsi="Arial" w:cs="Arial"/>
                <w:color w:val="auto"/>
                <w:sz w:val="21"/>
                <w:szCs w:val="21"/>
                <w:lang w:eastAsia="zh-CN"/>
              </w:rPr>
              <w:t>，</w:t>
            </w:r>
            <w:r>
              <w:rPr>
                <w:rFonts w:hint="eastAsia" w:ascii="Arial" w:hAnsi="Arial" w:cs="Arial"/>
                <w:color w:val="auto"/>
                <w:sz w:val="21"/>
                <w:szCs w:val="21"/>
                <w:lang w:val="en-US" w:eastAsia="zh-CN"/>
              </w:rPr>
              <w:t>并拓展成多个企业合作的新能源产业学院</w:t>
            </w:r>
            <w:r>
              <w:rPr>
                <w:rFonts w:hint="default" w:ascii="Arial" w:hAnsi="Arial" w:cs="Arial"/>
                <w:color w:val="auto"/>
                <w:sz w:val="21"/>
                <w:szCs w:val="21"/>
              </w:rPr>
              <w:t>)</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（2）建立国际技术领先的国内首家微电子工程与设备维护人才实验实训基地。(已完成)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（3）与合作企业开发实训课程，开展工程应用服务，拓展教学培训项目，积累典型案例，加强校企深度融合、联合培养人才的模式创新。(已完成)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b/>
                <w:color w:val="auto"/>
                <w:sz w:val="21"/>
                <w:szCs w:val="21"/>
              </w:rPr>
            </w:pPr>
            <w:r>
              <w:rPr>
                <w:rFonts w:hint="default" w:ascii="Arial" w:hAnsi="Arial" w:cs="Arial"/>
                <w:b/>
                <w:color w:val="auto"/>
                <w:sz w:val="21"/>
                <w:szCs w:val="21"/>
              </w:rPr>
              <w:t>三、</w:t>
            </w:r>
            <w:r>
              <w:rPr>
                <w:rFonts w:hint="default" w:ascii="Arial" w:hAnsi="Arial" w:cs="Arial"/>
                <w:b/>
                <w:color w:val="auto"/>
                <w:sz w:val="21"/>
                <w:szCs w:val="21"/>
              </w:rPr>
              <w:br w:type="page"/>
            </w:r>
            <w:r>
              <w:rPr>
                <w:rFonts w:hint="default" w:ascii="Arial" w:hAnsi="Arial" w:cs="Arial"/>
                <w:b/>
                <w:color w:val="auto"/>
                <w:sz w:val="21"/>
                <w:szCs w:val="21"/>
              </w:rPr>
              <w:t>2017年</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（1）FPGA应用创新联合实验室建立并投入使用。(已完成)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（2）智慧硬件与DAB数字广播实训中心正常运行并对社会服务，获得省级科技进步奖1项。(省级)。</w:t>
            </w:r>
            <w:r>
              <w:rPr>
                <w:rFonts w:hint="default" w:ascii="Arial" w:hAnsi="Arial" w:cs="Arial"/>
                <w:color w:val="auto"/>
                <w:sz w:val="21"/>
                <w:szCs w:val="21"/>
              </w:rPr>
              <w:br w:type="page"/>
            </w:r>
            <w:r>
              <w:rPr>
                <w:rFonts w:hint="default" w:ascii="Arial" w:hAnsi="Arial" w:cs="Arial"/>
                <w:color w:val="auto"/>
                <w:sz w:val="21"/>
                <w:szCs w:val="21"/>
              </w:rPr>
              <w:t>(建设与运行已完成，但省级科技进步奖暂缺，有待该项目通过省级验收后再申报)</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（3）继续推进各实验实训基地建设，与合作企业开发新课程，开展工程应用服务。(已完成)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b/>
                <w:bCs/>
                <w:color w:val="auto"/>
                <w:sz w:val="21"/>
                <w:szCs w:val="21"/>
              </w:rPr>
            </w:pPr>
            <w:r>
              <w:rPr>
                <w:rFonts w:hint="default" w:ascii="Arial" w:hAnsi="Arial" w:cs="Arial"/>
                <w:b/>
                <w:bCs/>
                <w:color w:val="auto"/>
                <w:sz w:val="21"/>
                <w:szCs w:val="21"/>
              </w:rPr>
              <w:t>四、2018年</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210" w:firstLineChars="100"/>
              <w:textAlignment w:val="auto"/>
              <w:outlineLvl w:val="9"/>
              <w:rPr>
                <w:rFonts w:hint="default" w:ascii="Arial" w:hAnsi="Arial" w:cs="Arial"/>
                <w:color w:val="auto"/>
                <w:sz w:val="21"/>
                <w:szCs w:val="21"/>
              </w:rPr>
            </w:pPr>
            <w:r>
              <w:rPr>
                <w:rFonts w:hint="default" w:ascii="Arial" w:hAnsi="Arial" w:cs="Arial"/>
                <w:color w:val="auto"/>
                <w:sz w:val="21"/>
                <w:szCs w:val="21"/>
              </w:rPr>
              <w:t>（1）5个实验实训基地的常态化运作与发展，其中一个获得国家级工程教育实践基地1个。（已完成）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210" w:firstLineChars="100"/>
              <w:textAlignment w:val="auto"/>
              <w:outlineLvl w:val="9"/>
              <w:rPr>
                <w:rFonts w:hint="default" w:ascii="Arial" w:hAnsi="Arial" w:cs="Arial"/>
                <w:color w:val="auto"/>
                <w:sz w:val="21"/>
                <w:szCs w:val="21"/>
              </w:rPr>
            </w:pPr>
            <w:r>
              <w:rPr>
                <w:rFonts w:hint="default" w:ascii="Arial" w:hAnsi="Arial" w:cs="Arial"/>
                <w:color w:val="auto"/>
                <w:sz w:val="21"/>
                <w:szCs w:val="21"/>
              </w:rPr>
              <w:t>（2）省级实验教学示范中心2个常态化运作；独立省级工程中心暂缺，已建成校企合作省级工程中心分中心。（基本完成）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br w:type="page"/>
            </w:r>
          </w:p>
        </w:tc>
        <w:tc>
          <w:tcPr>
            <w:tcW w:w="201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智慧硬件与DAB数字广播实训中心正常运行并对社会服务，建设与运行任务已完成，并获得省原创科技成果的产业化推广立项550万元，但省级科技进步奖暂缺，有待该项目通过省级验收后再申报</w:t>
            </w: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br w:type="page"/>
            </w:r>
          </w:p>
        </w:tc>
      </w:tr>
      <w:tr>
        <w:tblPrEx>
          <w:tblLayout w:type="fixed"/>
          <w:tblCellMar>
            <w:top w:w="0" w:type="dxa"/>
            <w:left w:w="113" w:type="dxa"/>
            <w:bottom w:w="0" w:type="dxa"/>
            <w:right w:w="113" w:type="dxa"/>
          </w:tblCellMar>
        </w:tblPrEx>
        <w:trPr>
          <w:jc w:val="center"/>
        </w:trPr>
        <w:tc>
          <w:tcPr>
            <w:tcW w:w="916" w:type="dxa"/>
            <w:tcBorders>
              <w:top w:val="single" w:color="000000" w:sz="6" w:space="0"/>
              <w:left w:val="single" w:color="000000" w:sz="6" w:space="0"/>
              <w:bottom w:val="single" w:color="000000" w:sz="6" w:space="0"/>
              <w:right w:val="single" w:color="000000" w:sz="6" w:space="0"/>
            </w:tcBorders>
            <w:vAlign w:val="center"/>
          </w:tcPr>
          <w:p>
            <w:pPr>
              <w:pStyle w:val="21"/>
              <w:wordWrap w:val="0"/>
              <w:spacing w:line="300" w:lineRule="atLeast"/>
              <w:jc w:val="center"/>
              <w:rPr>
                <w:rFonts w:hint="default" w:ascii="Arial" w:hAnsi="Arial" w:cs="Arial"/>
                <w:color w:val="auto"/>
                <w:sz w:val="21"/>
                <w:szCs w:val="21"/>
              </w:rPr>
            </w:pPr>
            <w:r>
              <w:rPr>
                <w:rFonts w:hint="default" w:ascii="Arial" w:hAnsi="Arial" w:cs="Arial"/>
                <w:color w:val="auto"/>
                <w:sz w:val="21"/>
                <w:szCs w:val="21"/>
              </w:rPr>
              <w:t>学生</w:t>
            </w:r>
          </w:p>
          <w:p>
            <w:pPr>
              <w:pStyle w:val="21"/>
              <w:wordWrap w:val="0"/>
              <w:spacing w:line="300" w:lineRule="atLeast"/>
              <w:jc w:val="center"/>
              <w:rPr>
                <w:rFonts w:hint="default" w:ascii="Arial" w:hAnsi="Arial" w:cs="Arial"/>
                <w:color w:val="auto"/>
                <w:sz w:val="21"/>
                <w:szCs w:val="21"/>
              </w:rPr>
            </w:pPr>
            <w:r>
              <w:rPr>
                <w:rFonts w:hint="default" w:ascii="Arial" w:hAnsi="Arial" w:cs="Arial"/>
                <w:color w:val="auto"/>
                <w:sz w:val="21"/>
                <w:szCs w:val="21"/>
              </w:rPr>
              <w:t>创新</w:t>
            </w:r>
          </w:p>
          <w:p>
            <w:pPr>
              <w:pStyle w:val="21"/>
              <w:wordWrap w:val="0"/>
              <w:spacing w:line="300" w:lineRule="atLeast"/>
              <w:jc w:val="center"/>
              <w:rPr>
                <w:rFonts w:hint="default" w:ascii="Arial" w:hAnsi="Arial" w:cs="Arial"/>
                <w:color w:val="auto"/>
                <w:sz w:val="21"/>
                <w:szCs w:val="21"/>
              </w:rPr>
            </w:pPr>
            <w:r>
              <w:rPr>
                <w:rFonts w:hint="default" w:ascii="Arial" w:hAnsi="Arial" w:cs="Arial"/>
                <w:color w:val="auto"/>
                <w:sz w:val="21"/>
                <w:szCs w:val="21"/>
              </w:rPr>
              <w:t>创业</w:t>
            </w:r>
          </w:p>
          <w:p>
            <w:pPr>
              <w:pStyle w:val="21"/>
              <w:wordWrap w:val="0"/>
              <w:spacing w:line="300" w:lineRule="atLeast"/>
              <w:jc w:val="center"/>
              <w:rPr>
                <w:rFonts w:hint="default" w:ascii="Arial" w:hAnsi="Arial" w:cs="Arial"/>
                <w:color w:val="auto"/>
                <w:sz w:val="21"/>
                <w:szCs w:val="21"/>
              </w:rPr>
            </w:pPr>
            <w:r>
              <w:rPr>
                <w:rFonts w:hint="default" w:ascii="Arial" w:hAnsi="Arial" w:cs="Arial"/>
                <w:color w:val="auto"/>
                <w:sz w:val="21"/>
                <w:szCs w:val="21"/>
              </w:rPr>
              <w:t>训练</w:t>
            </w:r>
          </w:p>
        </w:tc>
        <w:tc>
          <w:tcPr>
            <w:tcW w:w="5939"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一、2015年</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1）1、启动大学生创新创业开放式平台建设，制定建立创客工作室计划、大学生创新创业管理与评价制度，实现每个学生都有创新导师和职业规划的计划。2、制定学生开展创新创业活动的激励计划，提升学生创新创业活动参与度。</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（2）获得省级竞赛奖励10项以上，国家级竞赛奖励1项。</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二、2016年</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（1）1、建成2个创客工作室，制定创客空间的管理制度和工作规范，形成创客培育和评价体系；2、开展创新创业创优人才培养模式改革试点，形成典型案例。</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2）1、利用大学生创新创业开放式平台，实现创新创业活动常态化，提高学生活动参与度和竞赛参与度；2、大学生竞赛获省级以上奖励不少于15项。毕业生取得行业、国家、国际各类职业资格证书的学生比例达到50%以上；3、组织或联合组织举办区域性以上大学生科技竞赛1次。</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三、2017年</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（1）学生创新创业活动参与面达100%，各类竞赛参与面达60%，毕业生取得行业、国家、国际各类职业资格证书的学生比例达到90%以上。</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（2）1、新增3个创客工作室，开展创新创业创优人才培养模式改革试点；2、建立创新创业人才培养的示范工程，成功孵化大学生创业项目2项。</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（3）1、大学生竞赛获省级以上奖励不少于15项；2、举办或联合举办全国性大学生科技竞赛1次，省级区域性大学生科技竞赛1次。</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四、2018年</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（1）总结大学生创新创业开放式平台的常态化运行机制，形成典型案例，在同类专业中起到示范辐射作用。</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（2）1、5个创客工作室形成一批创新创业案例和工程技术解决方案，在业界获得应用与推广；2、形成创新创业创优人才培养模式改革典型案例，在国内具有影响力。</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（3）经过4年建设：</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1、竞赛获省级以上奖励不少于60项，其中国家级不少于10项；</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2、发表论文、申请专利等不少于100项，毕业设计论文省级优秀8篇以上，成功孵化大学生创业项目5项。</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3、组织举办省级区域性大学生科技竞赛1次。</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p>
        </w:tc>
        <w:tc>
          <w:tcPr>
            <w:tcW w:w="6391"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b/>
                <w:color w:val="auto"/>
                <w:sz w:val="21"/>
                <w:szCs w:val="21"/>
              </w:rPr>
            </w:pPr>
            <w:r>
              <w:rPr>
                <w:rFonts w:hint="default" w:ascii="Arial" w:hAnsi="Arial" w:cs="Arial"/>
                <w:b/>
                <w:color w:val="auto"/>
                <w:sz w:val="21"/>
                <w:szCs w:val="21"/>
              </w:rPr>
              <w:t>一、2015年</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1）1、启动大学生创新创业开放式平台建设，制定建立创客工作室计划、大学生创新创业管理与评价制度，实现每个学生都有创新导师和职业规划的计划。2、制定学生开展创新创业活动的激励计划，提升学生创新创业活动参与度。(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（2）获得省级竞赛奖励10项以上，国家级竞赛奖励1项。(已完成)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b/>
                <w:color w:val="auto"/>
                <w:sz w:val="21"/>
                <w:szCs w:val="21"/>
              </w:rPr>
            </w:pPr>
            <w:r>
              <w:rPr>
                <w:rFonts w:hint="default" w:ascii="Arial" w:hAnsi="Arial" w:cs="Arial"/>
                <w:b/>
                <w:color w:val="auto"/>
                <w:sz w:val="21"/>
                <w:szCs w:val="21"/>
              </w:rPr>
              <w:t>二、2016年</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（1）1、建成2个创客工作室，制定创客空间的管理制度和工作规范，形成创客培育和评价体系；2、开展创新创业创优人才培养模式改革试点，形成典型案例。(已完成)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2）1、利用大学生创新创业开放式平台，实现创新创业活动常态化，提高学生活动参与度和竞赛参与度；2、大学生竞赛获省级以上奖励不少于15项。毕业生取得行业、国家、国际各类职业资格证书的学生比例达到50%以上；3、组织或联合组织举办区域性以上大学生科技竞赛1次。(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b/>
                <w:color w:val="auto"/>
                <w:sz w:val="21"/>
                <w:szCs w:val="21"/>
              </w:rPr>
            </w:pPr>
            <w:r>
              <w:rPr>
                <w:rFonts w:hint="default" w:ascii="Arial" w:hAnsi="Arial" w:cs="Arial"/>
                <w:b/>
                <w:color w:val="auto"/>
                <w:sz w:val="21"/>
                <w:szCs w:val="21"/>
              </w:rPr>
              <w:t>三、2017年</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（1）学生创新创业活动参与面达100%，各类竞赛参与面达60%，毕业生取得行业、国家、国际各类职业资格证书的学生比例达到90%以上。(已完成)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（2）1、新增3个创客工作室，开展创新创业创优人才培养模式改革试点；2、建立创新创业人才培养的示范工程，成功孵化大学生创业项目2项。(已完成)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（3）1、大学生竞赛获省级以上奖励不少于15项；2、举办或联合举办全国性大学生科技竞赛1次，省级区域性大学生科技竞赛1次。 (已完成)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b/>
                <w:bCs/>
                <w:color w:val="auto"/>
                <w:sz w:val="21"/>
                <w:szCs w:val="21"/>
              </w:rPr>
            </w:pPr>
            <w:r>
              <w:rPr>
                <w:rFonts w:hint="default" w:ascii="Arial" w:hAnsi="Arial" w:cs="Arial"/>
                <w:b/>
                <w:bCs/>
                <w:color w:val="auto"/>
                <w:sz w:val="21"/>
                <w:szCs w:val="21"/>
              </w:rPr>
              <w:t>四、2018年</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（1）总结大学生创新创业开放式平台的常态化运行机制，形成典型案例，在同类专业中起到示范辐射作用。（已完成，有特色）</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（2）1、5个创客工作室形成一批创新创业案例和工程技术解决方案，在业界获得应用与推广；2、形成创新创业创优人才培养模式改革典型案例，在国内具有影响力。（已完成，需加强推广）</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（3）经过4年建设：</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1、竞赛获省级以上奖励不少于60项，其中国家级不少于10项；（已完成）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2、发表论文、申请专利等不少于100项，毕业设计论文省级优秀8篇以上，成功孵化大学生创业项目5项。（</w:t>
            </w:r>
            <w:r>
              <w:rPr>
                <w:rFonts w:hint="eastAsia" w:ascii="Arial" w:hAnsi="Arial" w:cs="Arial"/>
                <w:color w:val="auto"/>
                <w:sz w:val="21"/>
                <w:szCs w:val="21"/>
                <w:lang w:val="en-US" w:eastAsia="zh-CN"/>
              </w:rPr>
              <w:t>未</w:t>
            </w:r>
            <w:r>
              <w:rPr>
                <w:rFonts w:hint="default" w:ascii="Arial" w:hAnsi="Arial" w:cs="Arial"/>
                <w:color w:val="auto"/>
                <w:sz w:val="21"/>
                <w:szCs w:val="21"/>
              </w:rPr>
              <w:t>完成</w:t>
            </w:r>
            <w:r>
              <w:rPr>
                <w:rFonts w:hint="eastAsia" w:ascii="Arial" w:hAnsi="Arial" w:cs="Arial"/>
                <w:color w:val="auto"/>
                <w:sz w:val="21"/>
                <w:szCs w:val="21"/>
                <w:lang w:eastAsia="zh-CN"/>
              </w:rPr>
              <w:t>，</w:t>
            </w:r>
            <w:r>
              <w:rPr>
                <w:rFonts w:hint="eastAsia" w:ascii="Arial" w:hAnsi="Arial" w:cs="Arial"/>
                <w:color w:val="auto"/>
                <w:sz w:val="21"/>
                <w:szCs w:val="21"/>
                <w:lang w:val="en-US" w:eastAsia="zh-CN"/>
              </w:rPr>
              <w:t>论文专利41项，但质量比较以前大大提高；毕业设计论文省级优秀未达标；成功孵化大学生创业项目已完成</w:t>
            </w:r>
            <w:r>
              <w:rPr>
                <w:rFonts w:hint="default" w:ascii="Arial" w:hAnsi="Arial" w:cs="Arial"/>
                <w:color w:val="auto"/>
                <w:sz w:val="21"/>
                <w:szCs w:val="21"/>
              </w:rPr>
              <w:t>）</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3、组织举办省级区域性大学生科技竞赛2次。（已完成）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br w:type="page"/>
            </w:r>
          </w:p>
        </w:tc>
        <w:tc>
          <w:tcPr>
            <w:tcW w:w="201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300" w:lineRule="auto"/>
              <w:ind w:left="0" w:leftChars="0" w:right="0" w:rightChars="0"/>
              <w:textAlignment w:val="auto"/>
              <w:outlineLvl w:val="9"/>
              <w:rPr>
                <w:rFonts w:hint="default" w:ascii="Arial" w:hAnsi="Arial" w:cs="Arial"/>
                <w:color w:val="auto"/>
                <w:sz w:val="21"/>
                <w:szCs w:val="21"/>
              </w:rPr>
            </w:pPr>
          </w:p>
        </w:tc>
      </w:tr>
      <w:tr>
        <w:tblPrEx>
          <w:tblLayout w:type="fixed"/>
          <w:tblCellMar>
            <w:top w:w="0" w:type="dxa"/>
            <w:left w:w="113" w:type="dxa"/>
            <w:bottom w:w="0" w:type="dxa"/>
            <w:right w:w="113" w:type="dxa"/>
          </w:tblCellMar>
        </w:tblPrEx>
        <w:trPr>
          <w:trHeight w:val="90" w:hRule="atLeast"/>
          <w:jc w:val="center"/>
        </w:trPr>
        <w:tc>
          <w:tcPr>
            <w:tcW w:w="916" w:type="dxa"/>
            <w:tcBorders>
              <w:top w:val="single" w:color="000000" w:sz="6" w:space="0"/>
              <w:left w:val="single" w:color="000000" w:sz="6" w:space="0"/>
              <w:bottom w:val="single" w:color="000000" w:sz="6" w:space="0"/>
              <w:right w:val="single" w:color="000000" w:sz="6" w:space="0"/>
            </w:tcBorders>
            <w:vAlign w:val="center"/>
          </w:tcPr>
          <w:p>
            <w:pPr>
              <w:pStyle w:val="21"/>
              <w:wordWrap w:val="0"/>
              <w:spacing w:line="300" w:lineRule="atLeast"/>
              <w:jc w:val="center"/>
              <w:rPr>
                <w:rFonts w:hint="default" w:ascii="Arial" w:hAnsi="Arial" w:cs="Arial"/>
                <w:color w:val="auto"/>
                <w:sz w:val="21"/>
                <w:szCs w:val="21"/>
              </w:rPr>
            </w:pPr>
            <w:r>
              <w:rPr>
                <w:rFonts w:hint="default" w:ascii="Arial" w:hAnsi="Arial" w:cs="Arial"/>
                <w:color w:val="auto"/>
                <w:sz w:val="21"/>
                <w:szCs w:val="21"/>
              </w:rPr>
              <w:t>国内外</w:t>
            </w:r>
          </w:p>
          <w:p>
            <w:pPr>
              <w:pStyle w:val="21"/>
              <w:wordWrap w:val="0"/>
              <w:spacing w:line="300" w:lineRule="atLeast"/>
              <w:jc w:val="center"/>
              <w:rPr>
                <w:rFonts w:hint="default" w:ascii="Arial" w:hAnsi="Arial" w:cs="Arial"/>
                <w:color w:val="auto"/>
                <w:sz w:val="21"/>
                <w:szCs w:val="21"/>
              </w:rPr>
            </w:pPr>
            <w:r>
              <w:rPr>
                <w:rFonts w:hint="default" w:ascii="Arial" w:hAnsi="Arial" w:cs="Arial"/>
                <w:color w:val="auto"/>
                <w:sz w:val="21"/>
                <w:szCs w:val="21"/>
              </w:rPr>
              <w:t>教学</w:t>
            </w:r>
          </w:p>
          <w:p>
            <w:pPr>
              <w:pStyle w:val="21"/>
              <w:wordWrap w:val="0"/>
              <w:spacing w:line="300" w:lineRule="atLeast"/>
              <w:jc w:val="center"/>
              <w:rPr>
                <w:rFonts w:hint="default" w:ascii="Arial" w:hAnsi="Arial" w:cs="Arial"/>
                <w:color w:val="auto"/>
                <w:sz w:val="21"/>
                <w:szCs w:val="21"/>
              </w:rPr>
            </w:pPr>
            <w:r>
              <w:rPr>
                <w:rFonts w:hint="default" w:ascii="Arial" w:hAnsi="Arial" w:cs="Arial"/>
                <w:color w:val="auto"/>
                <w:sz w:val="21"/>
                <w:szCs w:val="21"/>
              </w:rPr>
              <w:t>交流</w:t>
            </w:r>
          </w:p>
          <w:p>
            <w:pPr>
              <w:pStyle w:val="21"/>
              <w:wordWrap w:val="0"/>
              <w:spacing w:line="300" w:lineRule="atLeast"/>
              <w:jc w:val="center"/>
              <w:rPr>
                <w:rFonts w:hint="default" w:ascii="Arial" w:hAnsi="Arial" w:cs="Arial"/>
                <w:color w:val="auto"/>
                <w:sz w:val="21"/>
                <w:szCs w:val="21"/>
              </w:rPr>
            </w:pPr>
            <w:r>
              <w:rPr>
                <w:rFonts w:hint="default" w:ascii="Arial" w:hAnsi="Arial" w:cs="Arial"/>
                <w:color w:val="auto"/>
                <w:sz w:val="21"/>
                <w:szCs w:val="21"/>
              </w:rPr>
              <w:t>合作</w:t>
            </w:r>
          </w:p>
        </w:tc>
        <w:tc>
          <w:tcPr>
            <w:tcW w:w="5939" w:type="dxa"/>
            <w:tcBorders>
              <w:top w:val="single" w:color="000000" w:sz="6" w:space="0"/>
              <w:left w:val="single" w:color="000000" w:sz="6" w:space="0"/>
              <w:bottom w:val="single" w:color="000000" w:sz="6" w:space="0"/>
              <w:right w:val="single" w:color="000000" w:sz="6" w:space="0"/>
            </w:tcBorders>
          </w:tcPr>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一、2015年</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（1）1、建立与国际接轨的应用型人才培养课程体系方案和教学模式引进计划；2、建立学生的交换生制度，建立学分互换、学位互授等战略合作关系。</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br w:type="page"/>
            </w:r>
            <w:r>
              <w:rPr>
                <w:rFonts w:hint="default" w:ascii="Arial" w:hAnsi="Arial" w:eastAsia="楷体" w:cs="Arial"/>
                <w:b w:val="0"/>
                <w:bCs/>
                <w:color w:val="auto"/>
                <w:sz w:val="21"/>
                <w:szCs w:val="21"/>
              </w:rPr>
              <w:t>（2）校企深度融合，和主流智造业的1家主干企业建成人才培养工程实训中心、联合教研室、社会服务平台。</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（3）与国内知名高校相关专业合作共建国家工程教育认证的学生培养机制、互动教学资源，联合制定课程建设方案、实践实训计划，联合指导毕业设计计划等。</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（4）建立与其他机构、组织联合举办国内国际应用型本科专业建设的教学交流研讨会的合作方案。</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二、2016年</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1）1、实现与国外高校联合进行教学改革、课程建设和科研合作，引进国外先进的课程模式和课程资源。2、实现学生的海外标杆大学进修的学分置换的制度化和国外高校学生来本专业进修常态化。3、2名教师赴海外进行教育教学研究，联合科研，双语课程建设。</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2）1、3名教师到合作企业顶岗挂职，时间不少于6个月。取得职业资格高级培训证书教师数增加5人次。2、企业骨干工程师来校挂职，参与课程建设和联合科研10人次。3、基于校校合作常态机制，联合开展课程建设和指导毕业设计。4、与其他机构、组织联合举办国内教学交流研讨会1次。</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三、2017年</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（1）1、2名教师赴海外进行教育教学研究，联合科研，课程建设。专业双语课程开设比例达专业课程总数30%； 2、引入与消化两门优质专业核心课程；3、与国外大学建立“3+1+2”本硕连读的应用型人才联合培养机制。</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2）1、3名教师到合作企业顶岗挂职，时间不少于6个月。取得职业资格高级培训证书教师数增加10人次。2、企业骨干工程师来校挂职，参与课程建设和联合科研20人次。3、继续开展与国内高校的专业共建合作，教研合作2项。4、与其他机构、组织联合举办全国性应用型本科教学交流研讨会1次。</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四、2018年</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（1）建成国际化标杆合作和国内校企深度融合的应用型人才联合培养机制。</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（2）引进海外先进课程资源，制定国际接轨的人才培养方案与课程体系。</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（3）专业教师团队和国际标杆等大学开展教学、科研合作项目5项，具有海外学习经历和继续研究生深造的学生比例达10%以上。</w:t>
            </w:r>
            <w:r>
              <w:rPr>
                <w:rFonts w:hint="default" w:ascii="Arial" w:hAnsi="Arial" w:eastAsia="楷体" w:cs="Arial"/>
                <w:b w:val="0"/>
                <w:bCs/>
                <w:color w:val="auto"/>
                <w:sz w:val="21"/>
                <w:szCs w:val="21"/>
              </w:rPr>
              <w:br w:type="page"/>
            </w:r>
          </w:p>
        </w:tc>
        <w:tc>
          <w:tcPr>
            <w:tcW w:w="6391"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b/>
                <w:color w:val="auto"/>
                <w:sz w:val="21"/>
                <w:szCs w:val="21"/>
              </w:rPr>
            </w:pPr>
            <w:r>
              <w:rPr>
                <w:rFonts w:hint="default" w:ascii="Arial" w:hAnsi="Arial" w:cs="Arial"/>
                <w:b/>
                <w:color w:val="auto"/>
                <w:sz w:val="21"/>
                <w:szCs w:val="21"/>
              </w:rPr>
              <w:t>一、2015年</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（1）1、建立与国际接轨的应用型人才培养课程体系方案和教学模式引进计划；2、建立学生的交换生制度，建立学分互换、学位互授等战略合作关系。(已完成)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br w:type="page"/>
            </w:r>
            <w:r>
              <w:rPr>
                <w:rFonts w:hint="default" w:ascii="Arial" w:hAnsi="Arial" w:cs="Arial"/>
                <w:color w:val="auto"/>
                <w:sz w:val="21"/>
                <w:szCs w:val="21"/>
              </w:rPr>
              <w:t>（2）校企深度融合，和主流智造业的1家主干企业建成人才培养工程实训中心、联合教研室、社会服务平台。(已完成)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（3）与国内知名高校相关专业合作共建国家工程教育认证的学生培养机制、互动教学资源，联合制定课程建设方案、实践实训计划，联合指导毕业设计计划等。(已完成)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（4）建立与其他机构、组织联合举办国内国际应用型本科专业建设的教学交流研讨会的合作方案。(已完成)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b/>
                <w:color w:val="auto"/>
                <w:sz w:val="21"/>
                <w:szCs w:val="21"/>
              </w:rPr>
            </w:pPr>
            <w:r>
              <w:rPr>
                <w:rFonts w:hint="default" w:ascii="Arial" w:hAnsi="Arial" w:cs="Arial"/>
                <w:b/>
                <w:color w:val="auto"/>
                <w:sz w:val="21"/>
                <w:szCs w:val="21"/>
              </w:rPr>
              <w:t>二、2016年</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1）1、实现与国外高校联合进行教学改革、课程建设和科研合作，引进国外先进的课程模式和课程资源。2、实现学生的海外标杆大学进修的学分置换的制度化和国外高校学生来本专业进修常态化。3、2名教师赴海外进行教育教学研究，联合科研，双语课程建设。(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2）1、3名教师到合作企业顶岗挂职，时间不少于6个月。取得职业资格高级培训证书教师数增加5人次。2、企业骨干工程师来校挂职，参与课程建设和联合科研10人次。3、基于校校合作常态机制，联合开展课程建设和指导毕业设计。4、与其他机构、组织联合举办国内教学交流研讨会1次。(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b/>
                <w:color w:val="auto"/>
                <w:sz w:val="21"/>
                <w:szCs w:val="21"/>
              </w:rPr>
            </w:pPr>
            <w:r>
              <w:rPr>
                <w:rFonts w:hint="default" w:ascii="Arial" w:hAnsi="Arial" w:cs="Arial"/>
                <w:b/>
                <w:color w:val="auto"/>
                <w:sz w:val="21"/>
                <w:szCs w:val="21"/>
              </w:rPr>
              <w:t>三、2017年</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（1）1、2名教师赴海外进行教育教学研究，联合科研，课程建设。专业双语课程开设比例达专业课程总数30%； 2、引入与消化两门优质专业核心课程；3、与国外大学建立“3+1+2”本硕连读的应用型人才联合培养机制。(1主动不完成，2 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2）1、3名教师到合作企业顶岗挂职，时间不少于6个月。取得职业资格高级培训证书教师数增加10人次。2、企业骨干工程师来校挂职，参与课程建设和联合科研20人次。3、继续开展与国内高校的专业共建合作，教研合作2项。4、与其他机构、组织联合举办全国性应用型本科教学交流研讨会1次。</w:t>
            </w:r>
            <w:r>
              <w:rPr>
                <w:rFonts w:hint="default" w:ascii="Arial" w:hAnsi="Arial" w:cs="Arial"/>
                <w:color w:val="auto"/>
                <w:sz w:val="21"/>
                <w:szCs w:val="21"/>
              </w:rPr>
              <w:br w:type="page"/>
            </w:r>
            <w:r>
              <w:rPr>
                <w:rFonts w:hint="default" w:ascii="Arial" w:hAnsi="Arial" w:cs="Arial"/>
                <w:color w:val="auto"/>
                <w:sz w:val="21"/>
                <w:szCs w:val="21"/>
              </w:rPr>
              <w:t xml:space="preserve"> (已完成)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b/>
                <w:bCs/>
                <w:color w:val="auto"/>
                <w:sz w:val="21"/>
                <w:szCs w:val="21"/>
              </w:rPr>
            </w:pPr>
            <w:r>
              <w:rPr>
                <w:rFonts w:hint="default" w:ascii="Arial" w:hAnsi="Arial" w:cs="Arial"/>
                <w:b/>
                <w:bCs/>
                <w:color w:val="auto"/>
                <w:sz w:val="21"/>
                <w:szCs w:val="21"/>
              </w:rPr>
              <w:t>四、2018年</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210" w:firstLineChars="100"/>
              <w:textAlignment w:val="auto"/>
              <w:outlineLvl w:val="9"/>
              <w:rPr>
                <w:rFonts w:hint="eastAsia" w:ascii="Arial" w:hAnsi="Arial" w:eastAsia="宋体" w:cs="Arial"/>
                <w:color w:val="auto"/>
                <w:sz w:val="21"/>
                <w:szCs w:val="21"/>
                <w:lang w:eastAsia="zh-CN"/>
              </w:rPr>
            </w:pPr>
            <w:r>
              <w:rPr>
                <w:rFonts w:hint="default" w:ascii="Arial" w:hAnsi="Arial" w:cs="Arial"/>
                <w:color w:val="auto"/>
                <w:sz w:val="21"/>
                <w:szCs w:val="21"/>
              </w:rPr>
              <w:t>（1）建成国际化标杆合作和国内校企深度融合的应用型人才联合培养机制。</w:t>
            </w:r>
            <w:r>
              <w:rPr>
                <w:rFonts w:hint="eastAsia" w:ascii="Arial" w:hAnsi="Arial" w:cs="Arial"/>
                <w:color w:val="auto"/>
                <w:sz w:val="21"/>
                <w:szCs w:val="21"/>
                <w:lang w:eastAsia="zh-CN"/>
              </w:rPr>
              <w:t>（</w:t>
            </w:r>
            <w:r>
              <w:rPr>
                <w:rFonts w:hint="eastAsia" w:ascii="Arial" w:hAnsi="Arial" w:cs="Arial"/>
                <w:color w:val="auto"/>
                <w:sz w:val="21"/>
                <w:szCs w:val="21"/>
                <w:lang w:val="en-US" w:eastAsia="zh-CN"/>
              </w:rPr>
              <w:t>已完成</w:t>
            </w:r>
            <w:r>
              <w:rPr>
                <w:rFonts w:hint="eastAsia" w:ascii="Arial" w:hAnsi="Arial" w:cs="Arial"/>
                <w:color w:val="auto"/>
                <w:sz w:val="21"/>
                <w:szCs w:val="21"/>
                <w:lang w:eastAsia="zh-CN"/>
              </w:rPr>
              <w:t>）</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210" w:firstLineChars="100"/>
              <w:textAlignment w:val="auto"/>
              <w:outlineLvl w:val="9"/>
              <w:rPr>
                <w:rFonts w:hint="default" w:ascii="Arial" w:hAnsi="Arial" w:cs="Arial"/>
                <w:color w:val="auto"/>
                <w:sz w:val="21"/>
                <w:szCs w:val="21"/>
              </w:rPr>
            </w:pPr>
            <w:r>
              <w:rPr>
                <w:rFonts w:hint="default" w:ascii="Arial" w:hAnsi="Arial" w:cs="Arial"/>
                <w:color w:val="auto"/>
                <w:sz w:val="21"/>
                <w:szCs w:val="21"/>
              </w:rPr>
              <w:t>（2）引进海外先进课程资源，制定国际接轨的人才培养方案与课程体系。（已完成）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210" w:firstLineChars="100"/>
              <w:textAlignment w:val="auto"/>
              <w:outlineLvl w:val="9"/>
              <w:rPr>
                <w:rFonts w:hint="default" w:ascii="Arial" w:hAnsi="Arial" w:cs="Arial"/>
                <w:color w:val="auto"/>
                <w:sz w:val="21"/>
                <w:szCs w:val="21"/>
              </w:rPr>
            </w:pPr>
            <w:r>
              <w:rPr>
                <w:rFonts w:hint="default" w:ascii="Arial" w:hAnsi="Arial" w:cs="Arial"/>
                <w:color w:val="auto"/>
                <w:sz w:val="21"/>
                <w:szCs w:val="21"/>
              </w:rPr>
              <w:t>（3）专业教师团队和国际标杆等大学开展教学、科研合作项目5项，具有海外学习经历和继续研究生深造的学生比例达10%以上。（已完成，达标）</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color w:val="auto"/>
                <w:sz w:val="21"/>
                <w:szCs w:val="21"/>
              </w:rPr>
            </w:pP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color w:val="auto"/>
                <w:sz w:val="21"/>
                <w:szCs w:val="21"/>
              </w:rPr>
            </w:pPr>
          </w:p>
        </w:tc>
        <w:tc>
          <w:tcPr>
            <w:tcW w:w="201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textAlignment w:val="auto"/>
              <w:outlineLvl w:val="9"/>
              <w:rPr>
                <w:rFonts w:hint="default" w:ascii="Arial" w:hAnsi="Arial" w:cs="Arial"/>
                <w:color w:val="auto"/>
                <w:sz w:val="21"/>
                <w:szCs w:val="21"/>
              </w:rPr>
            </w:pP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专业双语课程开设比例达专业课程总数30%，未完成，原因不在于无法完成，目前学院可以开设双语课程的教师人数足够开设双语课程，但对三本生源的专业课程实事求是的考虑，暂不需要开设那么多双语课程。</w:t>
            </w: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w:t>
            </w:r>
            <w:r>
              <w:rPr>
                <w:rFonts w:hint="default" w:ascii="Arial" w:hAnsi="Arial" w:cs="Arial"/>
                <w:color w:val="auto"/>
                <w:sz w:val="21"/>
                <w:szCs w:val="21"/>
              </w:rPr>
              <w:br w:type="page"/>
            </w:r>
          </w:p>
        </w:tc>
      </w:tr>
      <w:tr>
        <w:tblPrEx>
          <w:tblLayout w:type="fixed"/>
          <w:tblCellMar>
            <w:top w:w="0" w:type="dxa"/>
            <w:left w:w="113" w:type="dxa"/>
            <w:bottom w:w="0" w:type="dxa"/>
            <w:right w:w="113" w:type="dxa"/>
          </w:tblCellMar>
        </w:tblPrEx>
        <w:trPr>
          <w:jc w:val="center"/>
        </w:trPr>
        <w:tc>
          <w:tcPr>
            <w:tcW w:w="916" w:type="dxa"/>
            <w:tcBorders>
              <w:top w:val="single" w:color="000000" w:sz="6" w:space="0"/>
              <w:left w:val="single" w:color="000000" w:sz="6" w:space="0"/>
              <w:bottom w:val="single" w:color="000000" w:sz="6" w:space="0"/>
              <w:right w:val="single" w:color="000000" w:sz="6" w:space="0"/>
            </w:tcBorders>
            <w:vAlign w:val="center"/>
          </w:tcPr>
          <w:p>
            <w:pPr>
              <w:pStyle w:val="21"/>
              <w:wordWrap w:val="0"/>
              <w:spacing w:line="300" w:lineRule="atLeast"/>
              <w:jc w:val="center"/>
              <w:rPr>
                <w:rFonts w:hint="default" w:ascii="Arial" w:hAnsi="Arial" w:cs="Arial"/>
                <w:color w:val="auto"/>
                <w:sz w:val="21"/>
                <w:szCs w:val="21"/>
              </w:rPr>
            </w:pPr>
            <w:r>
              <w:rPr>
                <w:rFonts w:hint="default" w:ascii="Arial" w:hAnsi="Arial" w:cs="Arial"/>
                <w:color w:val="auto"/>
                <w:sz w:val="21"/>
                <w:szCs w:val="21"/>
              </w:rPr>
              <w:t>教育</w:t>
            </w:r>
          </w:p>
          <w:p>
            <w:pPr>
              <w:pStyle w:val="21"/>
              <w:wordWrap w:val="0"/>
              <w:spacing w:line="300" w:lineRule="atLeast"/>
              <w:jc w:val="center"/>
              <w:rPr>
                <w:rFonts w:hint="default" w:ascii="Arial" w:hAnsi="Arial" w:cs="Arial"/>
                <w:color w:val="auto"/>
                <w:sz w:val="21"/>
                <w:szCs w:val="21"/>
              </w:rPr>
            </w:pPr>
            <w:r>
              <w:rPr>
                <w:rFonts w:hint="default" w:ascii="Arial" w:hAnsi="Arial" w:cs="Arial"/>
                <w:color w:val="auto"/>
                <w:sz w:val="21"/>
                <w:szCs w:val="21"/>
              </w:rPr>
              <w:t>教学</w:t>
            </w:r>
          </w:p>
          <w:p>
            <w:pPr>
              <w:pStyle w:val="21"/>
              <w:wordWrap w:val="0"/>
              <w:spacing w:line="300" w:lineRule="atLeast"/>
              <w:jc w:val="center"/>
              <w:rPr>
                <w:rFonts w:hint="default" w:ascii="Arial" w:hAnsi="Arial" w:cs="Arial"/>
                <w:color w:val="auto"/>
                <w:sz w:val="21"/>
                <w:szCs w:val="21"/>
              </w:rPr>
            </w:pPr>
            <w:r>
              <w:rPr>
                <w:rFonts w:hint="default" w:ascii="Arial" w:hAnsi="Arial" w:cs="Arial"/>
                <w:color w:val="auto"/>
                <w:sz w:val="21"/>
                <w:szCs w:val="21"/>
              </w:rPr>
              <w:t>研究</w:t>
            </w:r>
          </w:p>
          <w:p>
            <w:pPr>
              <w:pStyle w:val="21"/>
              <w:wordWrap w:val="0"/>
              <w:spacing w:line="300" w:lineRule="atLeast"/>
              <w:jc w:val="center"/>
              <w:rPr>
                <w:rFonts w:hint="default" w:ascii="Arial" w:hAnsi="Arial" w:cs="Arial"/>
                <w:color w:val="auto"/>
                <w:sz w:val="21"/>
                <w:szCs w:val="21"/>
              </w:rPr>
            </w:pPr>
            <w:r>
              <w:rPr>
                <w:rFonts w:hint="default" w:ascii="Arial" w:hAnsi="Arial" w:cs="Arial"/>
                <w:color w:val="auto"/>
                <w:sz w:val="21"/>
                <w:szCs w:val="21"/>
              </w:rPr>
              <w:t>与改革</w:t>
            </w:r>
          </w:p>
        </w:tc>
        <w:tc>
          <w:tcPr>
            <w:tcW w:w="5939"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一、2015年</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(1)建立以校长、院长、专业负责人在内的校校合作、校企融合共建的“学生自主、二次分流”的特色化应用型本科专业人才培养模式。</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(2)进行校企深度融合的教学团队、教学组织、课程体系和运作机制的调研。</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(3)通过与国外标杆大学等应用型大学交流合作，形成国际应用型人才培养、教育的有效途径，借鉴国际教育资源，探讨联合培养机制。</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(4)制定国家工程教育认证的方案，探索国家工程教育认证的培养模式。</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二、</w:t>
            </w:r>
            <w:r>
              <w:rPr>
                <w:rFonts w:hint="default" w:ascii="Arial" w:hAnsi="Arial" w:eastAsia="楷体" w:cs="Arial"/>
                <w:b w:val="0"/>
                <w:bCs/>
                <w:color w:val="auto"/>
                <w:sz w:val="21"/>
                <w:szCs w:val="21"/>
              </w:rPr>
              <w:br w:type="page"/>
            </w:r>
            <w:r>
              <w:rPr>
                <w:rFonts w:hint="default" w:ascii="Arial" w:hAnsi="Arial" w:eastAsia="楷体" w:cs="Arial"/>
                <w:b w:val="0"/>
                <w:bCs/>
                <w:color w:val="auto"/>
                <w:sz w:val="21"/>
                <w:szCs w:val="21"/>
              </w:rPr>
              <w:t>2016年</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（1）“学生自主、二次分流”的人才培养模式应用于2016届毕业生，取得企业定制人才培养初步经验。</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（2）建成校企融合的联合教学与科研团队，构建相关实践课程教学体系，开展联合育人的实践，总结经验推进发展。</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（3）按照国家工程教育认证的工作方案要求，完成本年度工作目标。</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（4）教育教学研究课题2项获得省部级及以上级立项，发表高水平教改论文。</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三、</w:t>
            </w:r>
            <w:r>
              <w:rPr>
                <w:rFonts w:hint="default" w:ascii="Arial" w:hAnsi="Arial" w:eastAsia="楷体" w:cs="Arial"/>
                <w:b w:val="0"/>
                <w:bCs/>
                <w:color w:val="auto"/>
                <w:sz w:val="21"/>
                <w:szCs w:val="21"/>
              </w:rPr>
              <w:br w:type="page"/>
            </w:r>
            <w:r>
              <w:rPr>
                <w:rFonts w:hint="default" w:ascii="Arial" w:hAnsi="Arial" w:eastAsia="楷体" w:cs="Arial"/>
                <w:b w:val="0"/>
                <w:bCs/>
                <w:color w:val="auto"/>
                <w:sz w:val="21"/>
                <w:szCs w:val="21"/>
              </w:rPr>
              <w:t>2017年</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（1）总结校校合作、校企深度融合联合共建的“学生自主、二次分流”应用型本科专业人才培养模式及其他各项教改成果，发表高水平教改论文。获得省级及以上教学成果奖。(省级)。</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（2）形成与主流智造业主干企业的深度校企融合的教学团队合作模式、课程建设体系。(校级)。</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（3）研究国际工程实训的办学模式，按照国家工程教育认证标准管理教学工作。(校级)。</w:t>
            </w:r>
            <w:r>
              <w:rPr>
                <w:rFonts w:hint="default" w:ascii="Arial" w:hAnsi="Arial" w:eastAsia="楷体" w:cs="Arial"/>
                <w:b w:val="0"/>
                <w:bCs/>
                <w:color w:val="auto"/>
                <w:sz w:val="21"/>
                <w:szCs w:val="21"/>
              </w:rPr>
              <w:br w:type="page"/>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（4）教育教学研究课题3项获得省部级及以上级立项，发表高水平教改论文。</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四、2018年</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 xml:space="preserve">（1）1、优化校校合作、校企融合共建的“学生自主、二次分流”应用型本科专业人才培养模式，形成典型案例，在同类专业中起到示范辐射作用（独创）；2、形成与主流智造业主干企业深度校企深度的人才联合培养机制，形成标准和范式，在国内起到示范辐射作用。3、完善创新创业人才培养体系，提升应用型本科人才创新创业能力。4、实现一流的应用型人才培养，专业第一志愿率达到95%以上，年终就业率不低于99%，毕业生就业的企业定制率达80%以上，10%学生就业薪资为省内同类专业毕业生平均薪资的2倍。   </w:t>
            </w:r>
          </w:p>
          <w:p>
            <w:pPr>
              <w:pStyle w:val="21"/>
              <w:keepNext w:val="0"/>
              <w:keepLines w:val="0"/>
              <w:pageBreakBefore w:val="0"/>
              <w:widowControl/>
              <w:kinsoku/>
              <w:wordWrap w:val="0"/>
              <w:overflowPunct/>
              <w:topLinePunct w:val="0"/>
              <w:autoSpaceDE/>
              <w:autoSpaceDN/>
              <w:bidi w:val="0"/>
              <w:adjustRightInd/>
              <w:snapToGrid/>
              <w:spacing w:before="0" w:after="0" w:line="300" w:lineRule="auto"/>
              <w:ind w:left="0" w:leftChars="0" w:right="0" w:rightChars="0" w:firstLine="0" w:firstLineChars="0"/>
              <w:jc w:val="left"/>
              <w:textAlignment w:val="auto"/>
              <w:outlineLvl w:val="9"/>
              <w:rPr>
                <w:rFonts w:hint="default" w:ascii="Arial" w:hAnsi="Arial" w:eastAsia="楷体" w:cs="Arial"/>
                <w:b w:val="0"/>
                <w:bCs/>
                <w:color w:val="auto"/>
                <w:sz w:val="21"/>
                <w:szCs w:val="21"/>
              </w:rPr>
            </w:pPr>
            <w:r>
              <w:rPr>
                <w:rFonts w:hint="default" w:ascii="Arial" w:hAnsi="Arial" w:eastAsia="楷体" w:cs="Arial"/>
                <w:b w:val="0"/>
                <w:bCs/>
                <w:color w:val="auto"/>
                <w:sz w:val="21"/>
                <w:szCs w:val="21"/>
              </w:rPr>
              <w:t>（2）通过国家工程教育认证。</w:t>
            </w:r>
            <w:r>
              <w:rPr>
                <w:rFonts w:hint="default" w:ascii="Arial" w:hAnsi="Arial" w:eastAsia="楷体" w:cs="Arial"/>
                <w:b w:val="0"/>
                <w:bCs/>
                <w:color w:val="auto"/>
                <w:sz w:val="21"/>
                <w:szCs w:val="21"/>
              </w:rPr>
              <w:br w:type="page"/>
            </w:r>
          </w:p>
        </w:tc>
        <w:tc>
          <w:tcPr>
            <w:tcW w:w="6391"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b/>
                <w:color w:val="auto"/>
                <w:sz w:val="21"/>
                <w:szCs w:val="21"/>
              </w:rPr>
            </w:pPr>
            <w:r>
              <w:rPr>
                <w:rFonts w:hint="default" w:ascii="Arial" w:hAnsi="Arial" w:cs="Arial"/>
                <w:b/>
                <w:color w:val="auto"/>
                <w:sz w:val="21"/>
                <w:szCs w:val="21"/>
              </w:rPr>
              <w:t>一、2015年</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(1)建立以校长、院长、专业负责人在内的校校合作、校企融合共建的“学生自主、二次分流”的特色化应用型本科专业人才培养模式。(已完成)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(2)进行校企深度融合的教学团队、教学组织、课程体系和运作机制的调研。(已完成)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(3)通过与国外标杆大学等应用型大学交流合作，形成国际应用型人才培养、教育的有效途径，借鉴国际教育资源，探讨联合培养机制。(已完成)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b/>
                <w:color w:val="auto"/>
                <w:sz w:val="21"/>
                <w:szCs w:val="21"/>
              </w:rPr>
            </w:pPr>
            <w:r>
              <w:rPr>
                <w:rFonts w:hint="default" w:ascii="Arial" w:hAnsi="Arial" w:cs="Arial"/>
                <w:color w:val="auto"/>
                <w:sz w:val="21"/>
                <w:szCs w:val="21"/>
              </w:rPr>
              <w:t>(4)制定国家工程教育认证的方案，探索国家工程教育认证的培养模式。(已完成)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b/>
                <w:color w:val="auto"/>
                <w:sz w:val="21"/>
                <w:szCs w:val="21"/>
              </w:rPr>
            </w:pPr>
            <w:r>
              <w:rPr>
                <w:rFonts w:hint="default" w:ascii="Arial" w:hAnsi="Arial" w:cs="Arial"/>
                <w:b/>
                <w:color w:val="auto"/>
                <w:sz w:val="21"/>
                <w:szCs w:val="21"/>
              </w:rPr>
              <w:t>二、</w:t>
            </w:r>
            <w:r>
              <w:rPr>
                <w:rFonts w:hint="default" w:ascii="Arial" w:hAnsi="Arial" w:cs="Arial"/>
                <w:b/>
                <w:color w:val="auto"/>
                <w:sz w:val="21"/>
                <w:szCs w:val="21"/>
              </w:rPr>
              <w:br w:type="page"/>
            </w:r>
            <w:r>
              <w:rPr>
                <w:rFonts w:hint="default" w:ascii="Arial" w:hAnsi="Arial" w:cs="Arial"/>
                <w:b/>
                <w:color w:val="auto"/>
                <w:sz w:val="21"/>
                <w:szCs w:val="21"/>
              </w:rPr>
              <w:t>2016年</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（1）“学生自主、二次分流”的人才培养模式应用于2016届毕业生，取得企业定制人才培养初步经验。(已完成)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（2）建成校企融合的联合教学与科研团队，构建相关实践课程教学体系，开展联合育人的实践，总结经验推进发展。(已完成)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（3）按照国家工程教育认证的工作方案要求，完成本年度工作目标。(已完成)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（4）教育教学研究课题2项获得省部级及以上级立项，发表高水平教改论文。(已完成)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b/>
                <w:color w:val="auto"/>
                <w:sz w:val="21"/>
                <w:szCs w:val="21"/>
              </w:rPr>
            </w:pPr>
            <w:r>
              <w:rPr>
                <w:rFonts w:hint="default" w:ascii="Arial" w:hAnsi="Arial" w:cs="Arial"/>
                <w:b/>
                <w:color w:val="auto"/>
                <w:sz w:val="21"/>
                <w:szCs w:val="21"/>
              </w:rPr>
              <w:t>三、</w:t>
            </w:r>
            <w:r>
              <w:rPr>
                <w:rFonts w:hint="default" w:ascii="Arial" w:hAnsi="Arial" w:cs="Arial"/>
                <w:b/>
                <w:color w:val="auto"/>
                <w:sz w:val="21"/>
                <w:szCs w:val="21"/>
              </w:rPr>
              <w:br w:type="page"/>
            </w:r>
            <w:r>
              <w:rPr>
                <w:rFonts w:hint="default" w:ascii="Arial" w:hAnsi="Arial" w:cs="Arial"/>
                <w:b/>
                <w:color w:val="auto"/>
                <w:sz w:val="21"/>
                <w:szCs w:val="21"/>
              </w:rPr>
              <w:t>2017年</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（1）总结校校合作、校企深度融合联合共建的“学生自主、二次分流”应用型本科专业人才培养模式及其他各项教改成果，发表高水平教改论文。获得省级及以上教学成果奖。(省级)。(未完成)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（2）形成与主流智造业主干企业的深度校企融合的教学团队合作模式、课程建设体系。(校级)。(已完成)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（3）研究国际工程实训的办学模式，按照国家工程教育认证标准管理教学工作。(校级)。(已完成)</w:t>
            </w:r>
            <w:r>
              <w:rPr>
                <w:rFonts w:hint="default" w:ascii="Arial" w:hAnsi="Arial" w:cs="Arial"/>
                <w:color w:val="auto"/>
                <w:sz w:val="21"/>
                <w:szCs w:val="21"/>
              </w:rPr>
              <w:br w:type="page"/>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（4）教育教学研究课题3项获得省部级及以上级立项，发表高水平教改论文。(已完成)</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textAlignment w:val="auto"/>
              <w:outlineLvl w:val="9"/>
              <w:rPr>
                <w:rFonts w:hint="default" w:ascii="Arial" w:hAnsi="Arial" w:cs="Arial"/>
                <w:b/>
                <w:bCs/>
                <w:color w:val="auto"/>
                <w:sz w:val="21"/>
                <w:szCs w:val="21"/>
              </w:rPr>
            </w:pPr>
            <w:r>
              <w:rPr>
                <w:rFonts w:hint="default" w:ascii="Arial" w:hAnsi="Arial" w:cs="Arial"/>
                <w:b/>
                <w:bCs/>
                <w:color w:val="auto"/>
                <w:sz w:val="21"/>
                <w:szCs w:val="21"/>
              </w:rPr>
              <w:t>四、2018年</w:t>
            </w:r>
          </w:p>
          <w:p>
            <w:pPr>
              <w:keepNext w:val="0"/>
              <w:keepLines w:val="0"/>
              <w:pageBreakBefore w:val="0"/>
              <w:kinsoku/>
              <w:overflowPunct/>
              <w:topLinePunct w:val="0"/>
              <w:autoSpaceDE/>
              <w:autoSpaceDN/>
              <w:bidi w:val="0"/>
              <w:adjustRightInd/>
              <w:snapToGrid/>
              <w:spacing w:line="300" w:lineRule="auto"/>
              <w:ind w:right="0" w:rightChars="0" w:firstLine="420" w:firstLineChars="20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（1）1、优化校校合作、校企融合共建的“学生自主、二次分流”应用型本科专业人才培养模式，形成典型案例，在同类专业中起到示范辐射作用</w:t>
            </w:r>
            <w:r>
              <w:rPr>
                <w:rFonts w:hint="default" w:ascii="Arial" w:hAnsi="Arial" w:cs="Arial"/>
                <w:b/>
                <w:color w:val="auto"/>
                <w:kern w:val="0"/>
                <w:sz w:val="21"/>
                <w:szCs w:val="21"/>
              </w:rPr>
              <w:t>（独创）</w:t>
            </w:r>
            <w:r>
              <w:rPr>
                <w:rFonts w:hint="default" w:ascii="Arial" w:hAnsi="Arial" w:cs="Arial"/>
                <w:color w:val="auto"/>
                <w:kern w:val="0"/>
                <w:sz w:val="21"/>
                <w:szCs w:val="21"/>
              </w:rPr>
              <w:t>；（</w:t>
            </w:r>
            <w:r>
              <w:rPr>
                <w:rFonts w:hint="eastAsia" w:ascii="Arial" w:hAnsi="Arial" w:cs="Arial"/>
                <w:color w:val="auto"/>
                <w:kern w:val="0"/>
                <w:sz w:val="21"/>
                <w:szCs w:val="21"/>
                <w:lang w:val="en-US" w:eastAsia="zh-CN"/>
              </w:rPr>
              <w:t>已完成，</w:t>
            </w:r>
            <w:r>
              <w:rPr>
                <w:rFonts w:hint="default" w:ascii="Arial" w:hAnsi="Arial" w:cs="Arial"/>
                <w:color w:val="auto"/>
                <w:kern w:val="0"/>
                <w:sz w:val="21"/>
                <w:szCs w:val="21"/>
              </w:rPr>
              <w:t>该模式已固化和优化，前景广阔，已对本校同类的其他专业示范辐射）</w:t>
            </w:r>
          </w:p>
          <w:p>
            <w:pPr>
              <w:keepNext w:val="0"/>
              <w:keepLines w:val="0"/>
              <w:pageBreakBefore w:val="0"/>
              <w:numPr>
                <w:ilvl w:val="0"/>
                <w:numId w:val="3"/>
              </w:numPr>
              <w:kinsoku/>
              <w:overflowPunct/>
              <w:topLinePunct w:val="0"/>
              <w:autoSpaceDE/>
              <w:autoSpaceDN/>
              <w:bidi w:val="0"/>
              <w:adjustRightInd/>
              <w:snapToGrid/>
              <w:spacing w:line="300" w:lineRule="auto"/>
              <w:ind w:right="0" w:rightChars="0" w:firstLine="420" w:firstLineChars="20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形成与主流智造业主干企业深度校企深度的人才联合培养机制，形成标准和范式，在国内起到示范辐射作用。（已完成）</w:t>
            </w:r>
          </w:p>
          <w:p>
            <w:pPr>
              <w:keepNext w:val="0"/>
              <w:keepLines w:val="0"/>
              <w:pageBreakBefore w:val="0"/>
              <w:numPr>
                <w:ilvl w:val="0"/>
                <w:numId w:val="3"/>
              </w:numPr>
              <w:kinsoku/>
              <w:overflowPunct/>
              <w:topLinePunct w:val="0"/>
              <w:autoSpaceDE/>
              <w:autoSpaceDN/>
              <w:bidi w:val="0"/>
              <w:adjustRightInd/>
              <w:snapToGrid/>
              <w:spacing w:line="300" w:lineRule="auto"/>
              <w:ind w:right="0" w:rightChars="0" w:firstLine="420" w:firstLineChars="200"/>
              <w:jc w:val="left"/>
              <w:textAlignment w:val="auto"/>
              <w:outlineLvl w:val="9"/>
              <w:rPr>
                <w:rFonts w:hint="default" w:ascii="Arial" w:hAnsi="Arial" w:cs="Arial"/>
                <w:color w:val="auto"/>
                <w:kern w:val="0"/>
                <w:sz w:val="21"/>
                <w:szCs w:val="21"/>
              </w:rPr>
            </w:pPr>
            <w:r>
              <w:rPr>
                <w:rFonts w:hint="default" w:ascii="Arial" w:hAnsi="Arial" w:cs="Arial"/>
                <w:color w:val="auto"/>
                <w:kern w:val="0"/>
                <w:sz w:val="21"/>
                <w:szCs w:val="21"/>
              </w:rPr>
              <w:t>完善创新创业人才培养体系，提升应用型本科人才创新创业能力。（已完成）</w:t>
            </w:r>
          </w:p>
          <w:p>
            <w:pPr>
              <w:keepNext w:val="0"/>
              <w:keepLines w:val="0"/>
              <w:pageBreakBefore w:val="0"/>
              <w:numPr>
                <w:ilvl w:val="0"/>
                <w:numId w:val="0"/>
              </w:numPr>
              <w:kinsoku/>
              <w:overflowPunct/>
              <w:topLinePunct w:val="0"/>
              <w:autoSpaceDE/>
              <w:autoSpaceDN/>
              <w:bidi w:val="0"/>
              <w:adjustRightInd/>
              <w:snapToGrid/>
              <w:spacing w:line="300" w:lineRule="auto"/>
              <w:ind w:right="0" w:rightChars="0" w:firstLine="420" w:firstLineChars="200"/>
              <w:jc w:val="left"/>
              <w:textAlignment w:val="auto"/>
              <w:outlineLvl w:val="9"/>
              <w:rPr>
                <w:rFonts w:hint="default" w:ascii="Arial" w:hAnsi="Arial" w:cs="Arial"/>
                <w:color w:val="auto"/>
                <w:sz w:val="21"/>
                <w:szCs w:val="21"/>
              </w:rPr>
            </w:pPr>
            <w:r>
              <w:rPr>
                <w:rFonts w:hint="default" w:ascii="Arial" w:hAnsi="Arial" w:cs="Arial"/>
                <w:color w:val="auto"/>
                <w:sz w:val="21"/>
                <w:szCs w:val="21"/>
              </w:rPr>
              <w:t xml:space="preserve">4、实现一流的应用型人才培养，专业第一志愿率达到95%以上，年终就业率不低于99%，毕业生就业的企业定制率达80%以上，10%学生就业薪资为省内同类专业毕业生平均薪资的2倍。（除专业第一志愿率未达标，10%学生就业薪资为省内同类毕业生平均薪资的2倍难以准确统计外，其他均达标）   </w:t>
            </w:r>
          </w:p>
          <w:p>
            <w:pPr>
              <w:pStyle w:val="21"/>
              <w:keepNext w:val="0"/>
              <w:keepLines w:val="0"/>
              <w:pageBreakBefore w:val="0"/>
              <w:kinsoku/>
              <w:wordWrap w:val="0"/>
              <w:overflowPunct/>
              <w:topLinePunct w:val="0"/>
              <w:autoSpaceDE/>
              <w:autoSpaceDN/>
              <w:bidi w:val="0"/>
              <w:adjustRightInd/>
              <w:snapToGrid/>
              <w:spacing w:before="0" w:after="0" w:line="300" w:lineRule="auto"/>
              <w:ind w:right="0" w:rightChars="0" w:firstLine="210" w:firstLineChars="100"/>
              <w:textAlignment w:val="auto"/>
              <w:outlineLvl w:val="9"/>
              <w:rPr>
                <w:rFonts w:hint="default" w:ascii="Arial" w:hAnsi="Arial" w:cs="Arial"/>
                <w:color w:val="auto"/>
                <w:sz w:val="21"/>
                <w:szCs w:val="21"/>
              </w:rPr>
            </w:pPr>
            <w:r>
              <w:rPr>
                <w:rFonts w:hint="default" w:ascii="Arial" w:hAnsi="Arial" w:cs="Arial"/>
                <w:color w:val="auto"/>
                <w:sz w:val="21"/>
                <w:szCs w:val="21"/>
              </w:rPr>
              <w:t>（2）通过国家工程教育认证。（未完成，国家暂未向民办大学开放认证）</w:t>
            </w:r>
          </w:p>
        </w:tc>
        <w:tc>
          <w:tcPr>
            <w:tcW w:w="2014" w:type="dxa"/>
            <w:tcBorders>
              <w:top w:val="single" w:color="000000" w:sz="6" w:space="0"/>
              <w:left w:val="single" w:color="000000" w:sz="6" w:space="0"/>
              <w:bottom w:val="single" w:color="000000" w:sz="6" w:space="0"/>
              <w:right w:val="single" w:color="000000" w:sz="6" w:space="0"/>
            </w:tcBorders>
            <w:vAlign w:val="center"/>
          </w:tcPr>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2017年总结校校合作、校企深度融合联合共建的“学生自主、二次分流”应用型本科专业人才培养模式及其他各项教改成果，发表高水平教改论文。获得省级及以上教学成果奖。(省级) (未完成)</w:t>
            </w: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firstLine="420" w:firstLineChars="200"/>
              <w:textAlignment w:val="auto"/>
              <w:outlineLvl w:val="9"/>
              <w:rPr>
                <w:rFonts w:hint="default" w:ascii="Arial" w:hAnsi="Arial" w:cs="Arial"/>
                <w:color w:val="auto"/>
                <w:sz w:val="21"/>
                <w:szCs w:val="21"/>
              </w:rPr>
            </w:pPr>
            <w:r>
              <w:rPr>
                <w:rFonts w:hint="default" w:ascii="Arial" w:hAnsi="Arial" w:cs="Arial"/>
                <w:color w:val="auto"/>
                <w:sz w:val="21"/>
                <w:szCs w:val="21"/>
              </w:rPr>
              <w:t>总结校校合作、校企深度融合联合共建的“学生自主、二次分流”应用型本科专业人才培养模式获得2017年校级教学成果一等奖及其他各项教改成果，发表高水平教改论文均完成（40篇，其中涉及思政19篇）。仅申报省级教学成果奖未完成。</w:t>
            </w: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textAlignment w:val="auto"/>
              <w:outlineLvl w:val="9"/>
              <w:rPr>
                <w:rFonts w:hint="default" w:ascii="Arial" w:hAnsi="Arial" w:cs="Arial"/>
                <w:color w:val="auto"/>
                <w:sz w:val="21"/>
                <w:szCs w:val="21"/>
              </w:rPr>
            </w:pP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textAlignment w:val="auto"/>
              <w:outlineLvl w:val="9"/>
              <w:rPr>
                <w:rFonts w:hint="default" w:ascii="Arial" w:hAnsi="Arial" w:cs="Arial"/>
                <w:color w:val="auto"/>
                <w:sz w:val="21"/>
                <w:szCs w:val="21"/>
              </w:rPr>
            </w:pP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textAlignment w:val="auto"/>
              <w:outlineLvl w:val="9"/>
              <w:rPr>
                <w:rFonts w:hint="default" w:ascii="Arial" w:hAnsi="Arial" w:cs="Arial"/>
                <w:color w:val="auto"/>
                <w:sz w:val="21"/>
                <w:szCs w:val="21"/>
              </w:rPr>
            </w:pP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textAlignment w:val="auto"/>
              <w:outlineLvl w:val="9"/>
              <w:rPr>
                <w:rFonts w:hint="default" w:ascii="Arial" w:hAnsi="Arial" w:cs="Arial"/>
                <w:color w:val="auto"/>
                <w:sz w:val="21"/>
                <w:szCs w:val="21"/>
              </w:rPr>
            </w:pP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textAlignment w:val="auto"/>
              <w:outlineLvl w:val="9"/>
              <w:rPr>
                <w:rFonts w:hint="default" w:ascii="Arial" w:hAnsi="Arial" w:cs="Arial"/>
                <w:color w:val="auto"/>
                <w:sz w:val="21"/>
                <w:szCs w:val="21"/>
              </w:rPr>
            </w:pP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textAlignment w:val="auto"/>
              <w:outlineLvl w:val="9"/>
              <w:rPr>
                <w:rFonts w:hint="default" w:ascii="Arial" w:hAnsi="Arial" w:cs="Arial"/>
                <w:color w:val="auto"/>
                <w:sz w:val="21"/>
                <w:szCs w:val="21"/>
              </w:rPr>
            </w:pP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textAlignment w:val="auto"/>
              <w:outlineLvl w:val="9"/>
              <w:rPr>
                <w:rFonts w:hint="default" w:ascii="Arial" w:hAnsi="Arial" w:cs="Arial"/>
                <w:color w:val="auto"/>
                <w:sz w:val="21"/>
                <w:szCs w:val="21"/>
              </w:rPr>
            </w:pP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textAlignment w:val="auto"/>
              <w:outlineLvl w:val="9"/>
              <w:rPr>
                <w:rFonts w:hint="default" w:ascii="Arial" w:hAnsi="Arial" w:cs="Arial"/>
                <w:color w:val="auto"/>
                <w:sz w:val="21"/>
                <w:szCs w:val="21"/>
              </w:rPr>
            </w:pP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textAlignment w:val="auto"/>
              <w:outlineLvl w:val="9"/>
              <w:rPr>
                <w:rFonts w:hint="default" w:ascii="Arial" w:hAnsi="Arial" w:cs="Arial"/>
                <w:color w:val="auto"/>
                <w:sz w:val="21"/>
                <w:szCs w:val="21"/>
              </w:rPr>
            </w:pP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textAlignment w:val="auto"/>
              <w:outlineLvl w:val="9"/>
              <w:rPr>
                <w:rFonts w:hint="default" w:ascii="Arial" w:hAnsi="Arial" w:eastAsia="宋体" w:cs="Arial"/>
                <w:color w:val="auto"/>
                <w:sz w:val="21"/>
                <w:szCs w:val="21"/>
                <w:lang w:val="en-US" w:eastAsia="zh-CN"/>
              </w:rPr>
            </w:pPr>
            <w:r>
              <w:rPr>
                <w:rFonts w:hint="default" w:ascii="Arial" w:hAnsi="Arial" w:cs="Arial"/>
                <w:color w:val="auto"/>
                <w:sz w:val="21"/>
                <w:szCs w:val="21"/>
              </w:rPr>
              <w:t>生源第一志愿率未达标</w:t>
            </w:r>
            <w:r>
              <w:rPr>
                <w:rFonts w:hint="eastAsia" w:ascii="Arial" w:hAnsi="Arial" w:cs="Arial"/>
                <w:color w:val="auto"/>
                <w:sz w:val="21"/>
                <w:szCs w:val="21"/>
                <w:lang w:eastAsia="zh-CN"/>
              </w:rPr>
              <w:t>，</w:t>
            </w:r>
            <w:r>
              <w:rPr>
                <w:rFonts w:hint="eastAsia" w:ascii="Arial" w:hAnsi="Arial" w:cs="Arial"/>
                <w:color w:val="auto"/>
                <w:sz w:val="21"/>
                <w:szCs w:val="21"/>
                <w:lang w:val="en-US" w:eastAsia="zh-CN"/>
              </w:rPr>
              <w:t>但就业形势非常好，高品质就业学生越来越多</w:t>
            </w: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textAlignment w:val="auto"/>
              <w:outlineLvl w:val="9"/>
              <w:rPr>
                <w:rFonts w:hint="default" w:ascii="Arial" w:hAnsi="Arial" w:cs="Arial"/>
                <w:color w:val="auto"/>
                <w:sz w:val="21"/>
                <w:szCs w:val="21"/>
              </w:rPr>
            </w:pPr>
          </w:p>
          <w:p>
            <w:pPr>
              <w:pStyle w:val="21"/>
              <w:keepNext w:val="0"/>
              <w:keepLines w:val="0"/>
              <w:pageBreakBefore w:val="0"/>
              <w:kinsoku/>
              <w:wordWrap w:val="0"/>
              <w:overflowPunct/>
              <w:topLinePunct w:val="0"/>
              <w:autoSpaceDE/>
              <w:autoSpaceDN/>
              <w:bidi w:val="0"/>
              <w:adjustRightInd/>
              <w:snapToGrid/>
              <w:spacing w:before="0" w:after="0" w:line="300" w:lineRule="auto"/>
              <w:ind w:left="0" w:leftChars="0" w:right="0" w:rightChars="0"/>
              <w:textAlignment w:val="auto"/>
              <w:outlineLvl w:val="9"/>
              <w:rPr>
                <w:rFonts w:hint="default" w:ascii="Arial" w:hAnsi="Arial" w:cs="Arial"/>
                <w:color w:val="auto"/>
                <w:sz w:val="21"/>
                <w:szCs w:val="21"/>
              </w:rPr>
            </w:pPr>
            <w:r>
              <w:rPr>
                <w:rFonts w:hint="default" w:ascii="Arial" w:hAnsi="Arial" w:cs="Arial"/>
                <w:color w:val="auto"/>
                <w:sz w:val="21"/>
                <w:szCs w:val="21"/>
              </w:rPr>
              <w:t>国家工程教育认证尚未对民办大学开放</w:t>
            </w:r>
            <w:r>
              <w:rPr>
                <w:rFonts w:hint="default" w:ascii="Arial" w:hAnsi="Arial" w:cs="Arial"/>
                <w:color w:val="auto"/>
                <w:sz w:val="21"/>
                <w:szCs w:val="21"/>
              </w:rPr>
              <w:br w:type="page"/>
            </w:r>
          </w:p>
        </w:tc>
      </w:tr>
      <w:tr>
        <w:tblPrEx>
          <w:tblLayout w:type="fixed"/>
          <w:tblCellMar>
            <w:top w:w="0" w:type="dxa"/>
            <w:left w:w="113" w:type="dxa"/>
            <w:bottom w:w="0" w:type="dxa"/>
            <w:right w:w="113" w:type="dxa"/>
          </w:tblCellMar>
        </w:tblPrEx>
        <w:trPr>
          <w:jc w:val="center"/>
        </w:trPr>
        <w:tc>
          <w:tcPr>
            <w:tcW w:w="15260" w:type="dxa"/>
            <w:gridSpan w:val="4"/>
            <w:vAlign w:val="center"/>
          </w:tcPr>
          <w:p>
            <w:pPr>
              <w:spacing w:line="300" w:lineRule="atLeast"/>
              <w:rPr>
                <w:rFonts w:hint="default" w:ascii="Arial" w:hAnsi="Arial" w:cs="Arial"/>
                <w:color w:val="auto"/>
                <w:sz w:val="18"/>
                <w:szCs w:val="18"/>
              </w:rPr>
            </w:pPr>
            <w:r>
              <w:rPr>
                <w:rFonts w:hint="default" w:ascii="Arial" w:hAnsi="Arial" w:cs="Arial"/>
                <w:color w:val="auto"/>
                <w:sz w:val="18"/>
                <w:szCs w:val="18"/>
              </w:rPr>
              <w:t>根据苏教高函﹝2016﹞2号文件要求，有关论文、专著、专利、科研奖项、教学成果等均须标注“江苏高校品牌专业建设工程资助项目”（英文标志：Top-notch Academic Programs Project of Jiangsu Higher Education Institutions，英文标志简称：TAPP）标识，否则不得作为项目考核验收内容。</w:t>
            </w:r>
          </w:p>
        </w:tc>
      </w:tr>
    </w:tbl>
    <w:p>
      <w:pPr>
        <w:widowControl/>
        <w:spacing w:line="300" w:lineRule="auto"/>
        <w:jc w:val="left"/>
        <w:rPr>
          <w:rFonts w:hint="default" w:ascii="Arial" w:hAnsi="Arial" w:eastAsia="黑体" w:cs="Arial"/>
          <w:b/>
          <w:color w:val="auto"/>
          <w:sz w:val="32"/>
          <w:szCs w:val="32"/>
        </w:rPr>
        <w:sectPr>
          <w:pgSz w:w="16840" w:h="11907" w:orient="landscape"/>
          <w:pgMar w:top="1134" w:right="1134" w:bottom="1134" w:left="1134" w:header="851" w:footer="992" w:gutter="0"/>
          <w:cols w:space="720" w:num="1"/>
        </w:sectPr>
      </w:pPr>
    </w:p>
    <w:p>
      <w:pPr>
        <w:numPr>
          <w:ilvl w:val="0"/>
          <w:numId w:val="8"/>
        </w:numPr>
        <w:rPr>
          <w:rFonts w:hint="default" w:ascii="Arial" w:hAnsi="Arial" w:eastAsia="黑体" w:cs="Arial"/>
          <w:color w:val="auto"/>
          <w:sz w:val="32"/>
          <w:szCs w:val="32"/>
        </w:rPr>
      </w:pPr>
      <w:r>
        <w:rPr>
          <w:rFonts w:hint="default" w:ascii="Arial" w:hAnsi="Arial" w:eastAsia="黑体" w:cs="Arial"/>
          <w:color w:val="auto"/>
          <w:sz w:val="32"/>
          <w:szCs w:val="32"/>
        </w:rPr>
        <w:t>标志性成果完成情况</w:t>
      </w:r>
    </w:p>
    <w:tbl>
      <w:tblPr>
        <w:tblStyle w:val="2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880"/>
        <w:gridCol w:w="2510"/>
        <w:gridCol w:w="3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4755" w:type="dxa"/>
            <w:gridSpan w:val="3"/>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cs="Arial"/>
                <w:color w:val="auto"/>
                <w:sz w:val="24"/>
                <w:szCs w:val="22"/>
              </w:rPr>
            </w:pPr>
            <w:r>
              <w:rPr>
                <w:rFonts w:hint="default" w:ascii="Arial" w:hAnsi="Arial" w:cs="Arial"/>
                <w:color w:val="auto"/>
                <w:sz w:val="24"/>
                <w:szCs w:val="22"/>
              </w:rPr>
              <w:t>本专业依据资助类型和高校类型需完成的标志性成果数目及级别</w:t>
            </w:r>
          </w:p>
        </w:tc>
        <w:tc>
          <w:tcPr>
            <w:tcW w:w="376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cs="Arial"/>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4755" w:type="dxa"/>
            <w:gridSpan w:val="3"/>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cs="Arial"/>
                <w:color w:val="auto"/>
                <w:sz w:val="24"/>
                <w:szCs w:val="22"/>
              </w:rPr>
            </w:pPr>
            <w:r>
              <w:rPr>
                <w:rFonts w:hint="default" w:ascii="Arial" w:hAnsi="Arial" w:cs="Arial"/>
                <w:color w:val="auto"/>
                <w:sz w:val="24"/>
                <w:szCs w:val="22"/>
              </w:rPr>
              <w:t>实际完成的标志性成果数目及级别</w:t>
            </w:r>
          </w:p>
        </w:tc>
        <w:tc>
          <w:tcPr>
            <w:tcW w:w="376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cs="Arial"/>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8522" w:type="dxa"/>
            <w:gridSpan w:val="4"/>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cs="Arial"/>
                <w:color w:val="auto"/>
                <w:sz w:val="24"/>
                <w:szCs w:val="22"/>
              </w:rPr>
            </w:pPr>
            <w:r>
              <w:rPr>
                <w:rFonts w:hint="default" w:ascii="Arial" w:hAnsi="Arial" w:cs="Arial"/>
                <w:color w:val="auto"/>
                <w:sz w:val="24"/>
              </w:rPr>
              <w:t>标志性成果（注明级别）清单</w:t>
            </w:r>
            <w:r>
              <w:rPr>
                <w:rStyle w:val="29"/>
                <w:rFonts w:hint="default" w:ascii="Arial" w:hAnsi="Arial" w:cs="Arial"/>
                <w:b/>
                <w:color w:val="auto"/>
                <w:sz w:val="28"/>
                <w:szCs w:val="28"/>
              </w:rPr>
              <w:footnoteReference w:id="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hint="default" w:ascii="Arial" w:hAnsi="Arial" w:cs="Arial"/>
                <w:color w:val="auto"/>
                <w:sz w:val="24"/>
                <w:szCs w:val="22"/>
              </w:rPr>
            </w:pPr>
            <w:r>
              <w:rPr>
                <w:rFonts w:hint="default" w:ascii="Arial" w:hAnsi="Arial" w:cs="Arial"/>
                <w:color w:val="auto"/>
                <w:sz w:val="24"/>
              </w:rPr>
              <w:t>成果级别</w:t>
            </w:r>
          </w:p>
        </w:tc>
        <w:tc>
          <w:tcPr>
            <w:tcW w:w="88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hint="default" w:ascii="Arial" w:hAnsi="Arial" w:cs="Arial"/>
                <w:color w:val="auto"/>
                <w:sz w:val="24"/>
                <w:szCs w:val="22"/>
              </w:rPr>
            </w:pPr>
            <w:r>
              <w:rPr>
                <w:rFonts w:hint="default" w:ascii="Arial" w:hAnsi="Arial" w:cs="Arial"/>
                <w:color w:val="auto"/>
                <w:sz w:val="24"/>
              </w:rPr>
              <w:t>序号</w:t>
            </w:r>
          </w:p>
        </w:tc>
        <w:tc>
          <w:tcPr>
            <w:tcW w:w="6277" w:type="dxa"/>
            <w:gridSpan w:val="2"/>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hint="default" w:ascii="Arial" w:hAnsi="Arial" w:cs="Arial"/>
                <w:color w:val="auto"/>
                <w:sz w:val="24"/>
                <w:szCs w:val="22"/>
              </w:rPr>
            </w:pPr>
            <w:r>
              <w:rPr>
                <w:rFonts w:hint="default" w:ascii="Arial" w:hAnsi="Arial" w:cs="Arial"/>
                <w:color w:val="auto"/>
                <w:sz w:val="24"/>
              </w:rPr>
              <w:t>成果名称（请注明文件编号）及描述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4" w:hRule="atLeast"/>
          <w:jc w:val="center"/>
        </w:trPr>
        <w:tc>
          <w:tcPr>
            <w:tcW w:w="136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default" w:ascii="Arial" w:hAnsi="Arial" w:cs="Arial"/>
                <w:color w:val="auto"/>
                <w:spacing w:val="-4"/>
                <w:sz w:val="24"/>
              </w:rPr>
            </w:pPr>
            <w:r>
              <w:rPr>
                <w:rFonts w:hint="default" w:ascii="Arial" w:hAnsi="Arial" w:cs="Arial"/>
                <w:color w:val="auto"/>
                <w:spacing w:val="-4"/>
                <w:sz w:val="24"/>
              </w:rPr>
              <w:t>Ⅰ/Ⅱ</w:t>
            </w:r>
          </w:p>
        </w:tc>
        <w:tc>
          <w:tcPr>
            <w:tcW w:w="88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hint="default" w:ascii="Arial" w:hAnsi="Arial" w:cs="Arial"/>
                <w:color w:val="auto"/>
                <w:szCs w:val="21"/>
              </w:rPr>
            </w:pPr>
            <w:r>
              <w:rPr>
                <w:rFonts w:hint="default" w:ascii="Arial" w:hAnsi="Arial" w:cs="Arial"/>
                <w:color w:val="auto"/>
                <w:szCs w:val="21"/>
              </w:rPr>
              <w:t>1</w:t>
            </w:r>
          </w:p>
        </w:tc>
        <w:tc>
          <w:tcPr>
            <w:tcW w:w="627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300" w:lineRule="auto"/>
              <w:ind w:left="0" w:leftChars="0" w:right="0" w:rightChars="0"/>
              <w:jc w:val="both"/>
              <w:textAlignment w:val="auto"/>
              <w:outlineLvl w:val="9"/>
              <w:rPr>
                <w:rFonts w:hint="default" w:ascii="Arial" w:hAnsi="Arial" w:cs="Arial"/>
                <w:color w:val="auto"/>
                <w:sz w:val="21"/>
                <w:szCs w:val="21"/>
              </w:rPr>
            </w:pPr>
            <w:r>
              <w:rPr>
                <w:rFonts w:hint="default" w:ascii="Arial" w:hAnsi="Arial" w:cs="Arial"/>
                <w:color w:val="auto"/>
                <w:sz w:val="21"/>
                <w:szCs w:val="21"/>
              </w:rPr>
              <w:t>恩智浦俱乐部（教高司函（2016）53号）</w:t>
            </w:r>
          </w:p>
          <w:p>
            <w:pPr>
              <w:keepNext w:val="0"/>
              <w:keepLines w:val="0"/>
              <w:pageBreakBefore w:val="0"/>
              <w:widowControl w:val="0"/>
              <w:kinsoku/>
              <w:wordWrap/>
              <w:overflowPunct/>
              <w:topLinePunct w:val="0"/>
              <w:autoSpaceDE/>
              <w:autoSpaceDN/>
              <w:bidi w:val="0"/>
              <w:adjustRightInd/>
              <w:snapToGrid/>
              <w:spacing w:before="0" w:beforeLines="50" w:after="0" w:afterLines="50" w:line="300" w:lineRule="auto"/>
              <w:ind w:left="0" w:leftChars="0" w:right="0" w:rightChars="0" w:firstLine="420" w:firstLineChars="200"/>
              <w:jc w:val="both"/>
              <w:textAlignment w:val="auto"/>
              <w:outlineLvl w:val="9"/>
              <w:rPr>
                <w:rFonts w:hint="default" w:ascii="Arial" w:hAnsi="Arial" w:cs="Arial"/>
                <w:color w:val="auto"/>
                <w:sz w:val="24"/>
              </w:rPr>
            </w:pPr>
            <w:r>
              <w:rPr>
                <w:rFonts w:hint="default" w:ascii="Arial" w:hAnsi="Arial" w:cs="Arial" w:eastAsiaTheme="minorEastAsia"/>
                <w:color w:val="auto"/>
                <w:kern w:val="0"/>
                <w:sz w:val="21"/>
                <w:szCs w:val="21"/>
              </w:rPr>
              <w:t>自2016年教育部高教司公布第一批产学合作项目以来，我校与“恩智浦中国”公司合作，成立“恩智浦俱乐部”创新创业教育改革项目，旨在承办第十二届智能车华东赛，同时为该大赛培养优秀的人才。项目立项后，我校于2017年7月成功承办了“第十二届恩智浦杯智能汽车华东赛”，同时俱乐部每年定期开展智能车培训，为比赛输送了大量的优秀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4" w:hRule="atLeast"/>
          <w:jc w:val="center"/>
        </w:trPr>
        <w:tc>
          <w:tcPr>
            <w:tcW w:w="136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default" w:ascii="Arial" w:hAnsi="Arial" w:cs="Arial"/>
                <w:color w:val="auto"/>
                <w:spacing w:val="-4"/>
                <w:sz w:val="24"/>
              </w:rPr>
            </w:pPr>
          </w:p>
        </w:tc>
        <w:tc>
          <w:tcPr>
            <w:tcW w:w="88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hint="default" w:ascii="Arial" w:hAnsi="Arial" w:cs="Arial"/>
                <w:color w:val="auto"/>
                <w:szCs w:val="21"/>
              </w:rPr>
            </w:pPr>
            <w:r>
              <w:rPr>
                <w:rFonts w:hint="default" w:ascii="Arial" w:hAnsi="Arial" w:cs="Arial"/>
                <w:color w:val="auto"/>
                <w:szCs w:val="21"/>
              </w:rPr>
              <w:t>2</w:t>
            </w:r>
          </w:p>
        </w:tc>
        <w:tc>
          <w:tcPr>
            <w:tcW w:w="627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300" w:lineRule="auto"/>
              <w:ind w:right="0" w:rightChars="0"/>
              <w:jc w:val="both"/>
              <w:textAlignment w:val="auto"/>
              <w:outlineLvl w:val="9"/>
              <w:rPr>
                <w:rFonts w:hint="default" w:ascii="Arial" w:hAnsi="Arial" w:cs="Arial" w:eastAsiaTheme="minorEastAsia"/>
                <w:color w:val="auto"/>
                <w:kern w:val="0"/>
                <w:sz w:val="21"/>
                <w:szCs w:val="21"/>
              </w:rPr>
            </w:pPr>
            <w:r>
              <w:rPr>
                <w:rFonts w:hint="default" w:ascii="Arial" w:hAnsi="Arial" w:cs="Arial" w:eastAsiaTheme="minorEastAsia"/>
                <w:color w:val="auto"/>
                <w:kern w:val="0"/>
                <w:sz w:val="21"/>
                <w:szCs w:val="21"/>
              </w:rPr>
              <w:t>基于FPGA的数字信号处理系统设计（苏教办高﹝2015﹞16号）</w:t>
            </w:r>
          </w:p>
          <w:p>
            <w:pPr>
              <w:keepNext w:val="0"/>
              <w:keepLines w:val="0"/>
              <w:pageBreakBefore w:val="0"/>
              <w:widowControl w:val="0"/>
              <w:kinsoku/>
              <w:wordWrap/>
              <w:overflowPunct/>
              <w:topLinePunct w:val="0"/>
              <w:autoSpaceDE/>
              <w:autoSpaceDN/>
              <w:bidi w:val="0"/>
              <w:adjustRightInd/>
              <w:snapToGrid/>
              <w:spacing w:before="0" w:beforeLines="50" w:after="0" w:afterLines="50" w:line="300" w:lineRule="auto"/>
              <w:ind w:left="0" w:leftChars="0" w:right="0" w:rightChars="0" w:firstLine="420" w:firstLineChars="200"/>
              <w:jc w:val="both"/>
              <w:textAlignment w:val="auto"/>
              <w:outlineLvl w:val="9"/>
              <w:rPr>
                <w:rFonts w:hint="default" w:ascii="Arial" w:hAnsi="Arial" w:cs="Arial"/>
                <w:color w:val="auto"/>
                <w:sz w:val="24"/>
              </w:rPr>
            </w:pPr>
            <w:r>
              <w:rPr>
                <w:rFonts w:hint="default" w:ascii="Arial" w:hAnsi="Arial" w:cs="Arial" w:eastAsiaTheme="minorEastAsia"/>
                <w:color w:val="auto"/>
                <w:kern w:val="0"/>
                <w:sz w:val="21"/>
                <w:szCs w:val="21"/>
              </w:rPr>
              <w:t>本项目的主要内容是以FPGA技术为基础，在FPGA开发平台上实现了对数字信号的处理及与PC机之间的网络通信，系统模块由这两部分构成。设计的系统是将获得的8位128个字节时域信号数据先由主机通过以太网传输至以太网控制器模块（MAC），然后再传输快速傅里叶变换模块经行8位128点快速傅里叶变换，再将变换后的频域数据传回以太网控制器，最后发送回主机。学生完成了系统设计，获得了较好的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136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default" w:ascii="Arial" w:hAnsi="Arial" w:cs="Arial"/>
                <w:color w:val="auto"/>
                <w:spacing w:val="-4"/>
                <w:sz w:val="24"/>
              </w:rPr>
            </w:pPr>
          </w:p>
        </w:tc>
        <w:tc>
          <w:tcPr>
            <w:tcW w:w="88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hint="default" w:ascii="Arial" w:hAnsi="Arial" w:cs="Arial"/>
                <w:color w:val="auto"/>
                <w:szCs w:val="21"/>
              </w:rPr>
            </w:pPr>
            <w:r>
              <w:rPr>
                <w:rFonts w:hint="default" w:ascii="Arial" w:hAnsi="Arial" w:cs="Arial"/>
                <w:color w:val="auto"/>
                <w:szCs w:val="21"/>
              </w:rPr>
              <w:t>3</w:t>
            </w:r>
          </w:p>
        </w:tc>
        <w:tc>
          <w:tcPr>
            <w:tcW w:w="627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300" w:lineRule="auto"/>
              <w:ind w:right="0" w:rightChars="0"/>
              <w:jc w:val="both"/>
              <w:textAlignment w:val="auto"/>
              <w:outlineLvl w:val="9"/>
              <w:rPr>
                <w:rFonts w:hint="default" w:ascii="Arial" w:hAnsi="Arial" w:cs="Arial" w:eastAsiaTheme="minorEastAsia"/>
                <w:color w:val="auto"/>
                <w:kern w:val="0"/>
                <w:sz w:val="21"/>
                <w:szCs w:val="21"/>
              </w:rPr>
            </w:pPr>
            <w:r>
              <w:rPr>
                <w:rFonts w:hint="default" w:ascii="Arial" w:hAnsi="Arial" w:cs="Arial" w:eastAsiaTheme="minorEastAsia"/>
                <w:color w:val="auto"/>
                <w:kern w:val="0"/>
                <w:sz w:val="21"/>
                <w:szCs w:val="21"/>
              </w:rPr>
              <w:t>人脸识别门锁系统（苏教办高﹝2016﹞10号）</w:t>
            </w:r>
          </w:p>
          <w:p>
            <w:pPr>
              <w:keepNext w:val="0"/>
              <w:keepLines w:val="0"/>
              <w:pageBreakBefore w:val="0"/>
              <w:widowControl w:val="0"/>
              <w:kinsoku/>
              <w:wordWrap/>
              <w:overflowPunct/>
              <w:topLinePunct w:val="0"/>
              <w:autoSpaceDE/>
              <w:autoSpaceDN/>
              <w:bidi w:val="0"/>
              <w:adjustRightInd/>
              <w:snapToGrid/>
              <w:spacing w:before="0" w:beforeLines="50" w:after="0" w:afterLines="50" w:line="300" w:lineRule="auto"/>
              <w:ind w:left="0" w:leftChars="0" w:right="0" w:rightChars="0" w:firstLine="420" w:firstLineChars="200"/>
              <w:jc w:val="both"/>
              <w:textAlignment w:val="auto"/>
              <w:outlineLvl w:val="9"/>
              <w:rPr>
                <w:rFonts w:hint="default" w:ascii="Arial" w:hAnsi="Arial" w:cs="Arial"/>
                <w:color w:val="auto"/>
                <w:sz w:val="24"/>
              </w:rPr>
            </w:pPr>
            <w:r>
              <w:rPr>
                <w:rFonts w:hint="default" w:ascii="Arial" w:hAnsi="Arial" w:cs="Arial" w:eastAsiaTheme="minorEastAsia"/>
                <w:color w:val="auto"/>
                <w:kern w:val="0"/>
                <w:sz w:val="21"/>
                <w:szCs w:val="21"/>
              </w:rPr>
              <w:t>项目基于目前流行的人脸识别算法，将门锁与物联网结合在一起，提出了两种人脸识别门锁系统的解决方案，一种是以云服务器和Android手机客户端为核心的人脸识别智能门锁系统，另一种是人脸识别硬件端独立系统。由于门锁连接了互联网，通过使用专用的APP即可远程控制锁的开关。两种方案都具有科学性、合理性、可操作性和具有一定的商业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4" w:hRule="atLeast"/>
          <w:jc w:val="center"/>
        </w:trPr>
        <w:tc>
          <w:tcPr>
            <w:tcW w:w="13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Arial" w:hAnsi="Arial" w:cs="Arial"/>
                <w:color w:val="auto"/>
                <w:spacing w:val="-4"/>
                <w:sz w:val="24"/>
              </w:rPr>
            </w:pPr>
          </w:p>
        </w:tc>
        <w:tc>
          <w:tcPr>
            <w:tcW w:w="88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hint="default" w:ascii="Arial" w:hAnsi="Arial" w:cs="Arial"/>
                <w:color w:val="auto"/>
                <w:szCs w:val="21"/>
              </w:rPr>
            </w:pPr>
            <w:r>
              <w:rPr>
                <w:rFonts w:hint="default" w:ascii="Arial" w:hAnsi="Arial" w:cs="Arial"/>
                <w:color w:val="auto"/>
                <w:szCs w:val="21"/>
              </w:rPr>
              <w:t>4</w:t>
            </w:r>
          </w:p>
        </w:tc>
        <w:tc>
          <w:tcPr>
            <w:tcW w:w="627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300" w:lineRule="auto"/>
              <w:ind w:right="0" w:rightChars="0"/>
              <w:jc w:val="both"/>
              <w:textAlignment w:val="auto"/>
              <w:outlineLvl w:val="9"/>
              <w:rPr>
                <w:rFonts w:hint="default" w:ascii="Arial" w:hAnsi="Arial" w:cs="Arial" w:eastAsiaTheme="minorEastAsia"/>
                <w:color w:val="auto"/>
                <w:kern w:val="0"/>
                <w:sz w:val="21"/>
                <w:szCs w:val="21"/>
              </w:rPr>
            </w:pPr>
            <w:r>
              <w:rPr>
                <w:rFonts w:hint="default" w:ascii="Arial" w:hAnsi="Arial" w:cs="Arial" w:eastAsiaTheme="minorEastAsia"/>
                <w:color w:val="auto"/>
                <w:kern w:val="0"/>
                <w:sz w:val="21"/>
                <w:szCs w:val="21"/>
              </w:rPr>
              <w:t>用于治疗胃食管反流病的食管下括约肌功能电刺激电子系统（苏教办高﹝2017﹞?号）</w:t>
            </w:r>
          </w:p>
          <w:p>
            <w:pPr>
              <w:keepNext w:val="0"/>
              <w:keepLines w:val="0"/>
              <w:pageBreakBefore w:val="0"/>
              <w:widowControl w:val="0"/>
              <w:kinsoku/>
              <w:wordWrap/>
              <w:overflowPunct/>
              <w:topLinePunct w:val="0"/>
              <w:autoSpaceDE/>
              <w:autoSpaceDN/>
              <w:bidi w:val="0"/>
              <w:adjustRightInd/>
              <w:snapToGrid/>
              <w:spacing w:before="0" w:beforeLines="50" w:after="0" w:afterLines="50" w:line="300" w:lineRule="auto"/>
              <w:ind w:left="0" w:leftChars="0" w:right="0" w:rightChars="0" w:firstLine="420" w:firstLineChars="200"/>
              <w:jc w:val="both"/>
              <w:textAlignment w:val="auto"/>
              <w:outlineLvl w:val="9"/>
              <w:rPr>
                <w:rFonts w:hint="default" w:ascii="Arial" w:hAnsi="Arial" w:cs="Arial"/>
                <w:color w:val="auto"/>
                <w:sz w:val="24"/>
              </w:rPr>
            </w:pPr>
            <w:r>
              <w:rPr>
                <w:rFonts w:hint="default" w:ascii="Arial" w:hAnsi="Arial" w:cs="Arial" w:eastAsiaTheme="minorEastAsia"/>
                <w:color w:val="auto"/>
                <w:kern w:val="0"/>
                <w:sz w:val="21"/>
                <w:szCs w:val="21"/>
              </w:rPr>
              <w:t>本项目研究设计了用于治疗胃食管反流病的食管下括约肌功能电刺激电子系统，能够由体外主控模块产生合适的刺激信号，通过调制方式加载到高频信号上，经功率放大后通过发射线圈发出，体内接收模块将接收到的信号进行无源解调，获得所需的信号后对LES进行刺激，引起LES收缩，从而达到治疗GERD的效果。本系统具有一定的创新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4" w:hRule="atLeast"/>
          <w:jc w:val="center"/>
        </w:trPr>
        <w:tc>
          <w:tcPr>
            <w:tcW w:w="136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default" w:ascii="Arial" w:hAnsi="Arial" w:cs="Arial"/>
                <w:color w:val="auto"/>
                <w:spacing w:val="-4"/>
                <w:sz w:val="24"/>
              </w:rPr>
            </w:pPr>
            <w:r>
              <w:rPr>
                <w:rFonts w:hint="default" w:ascii="Arial" w:hAnsi="Arial" w:cs="Arial"/>
                <w:color w:val="auto"/>
                <w:spacing w:val="-4"/>
                <w:sz w:val="24"/>
              </w:rPr>
              <w:t>Ⅲ</w:t>
            </w:r>
          </w:p>
        </w:tc>
        <w:tc>
          <w:tcPr>
            <w:tcW w:w="88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hint="default" w:ascii="Arial" w:hAnsi="Arial" w:cs="Arial"/>
                <w:color w:val="auto"/>
                <w:szCs w:val="21"/>
              </w:rPr>
            </w:pPr>
            <w:r>
              <w:rPr>
                <w:rFonts w:hint="default" w:ascii="Arial" w:hAnsi="Arial" w:cs="Arial"/>
                <w:color w:val="auto"/>
                <w:szCs w:val="21"/>
              </w:rPr>
              <w:t>1</w:t>
            </w:r>
          </w:p>
        </w:tc>
        <w:tc>
          <w:tcPr>
            <w:tcW w:w="627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300" w:lineRule="auto"/>
              <w:ind w:right="0" w:rightChars="0"/>
              <w:jc w:val="both"/>
              <w:textAlignment w:val="auto"/>
              <w:outlineLvl w:val="9"/>
              <w:rPr>
                <w:rFonts w:hint="default" w:ascii="Arial" w:hAnsi="Arial" w:cs="Arial" w:eastAsiaTheme="minorEastAsia"/>
                <w:color w:val="auto"/>
                <w:kern w:val="0"/>
                <w:sz w:val="21"/>
                <w:szCs w:val="21"/>
              </w:rPr>
            </w:pPr>
            <w:r>
              <w:rPr>
                <w:rFonts w:hint="default" w:ascii="Arial" w:hAnsi="Arial" w:cs="Arial" w:eastAsiaTheme="minorEastAsia"/>
                <w:color w:val="auto"/>
                <w:kern w:val="0"/>
                <w:sz w:val="21"/>
                <w:szCs w:val="21"/>
              </w:rPr>
              <w:t>应用型本科“全方位、深层次”专业改革机制的研究与实践（苏教高[2015]13号）</w:t>
            </w:r>
          </w:p>
          <w:p>
            <w:pPr>
              <w:keepNext w:val="0"/>
              <w:keepLines w:val="0"/>
              <w:pageBreakBefore w:val="0"/>
              <w:widowControl w:val="0"/>
              <w:kinsoku/>
              <w:wordWrap/>
              <w:overflowPunct/>
              <w:topLinePunct w:val="0"/>
              <w:autoSpaceDE/>
              <w:autoSpaceDN/>
              <w:bidi w:val="0"/>
              <w:adjustRightInd/>
              <w:snapToGrid/>
              <w:spacing w:before="0" w:beforeLines="50" w:after="0" w:afterLines="50" w:line="300" w:lineRule="auto"/>
              <w:ind w:right="0" w:rightChars="0" w:firstLine="420" w:firstLineChars="200"/>
              <w:jc w:val="both"/>
              <w:textAlignment w:val="auto"/>
              <w:outlineLvl w:val="9"/>
              <w:rPr>
                <w:rFonts w:hint="default" w:ascii="Arial" w:hAnsi="Arial" w:cs="Arial"/>
                <w:color w:val="auto"/>
                <w:sz w:val="24"/>
              </w:rPr>
            </w:pPr>
            <w:r>
              <w:rPr>
                <w:rFonts w:hint="default" w:ascii="Arial" w:hAnsi="Arial" w:cs="Arial" w:eastAsiaTheme="minorEastAsia"/>
                <w:color w:val="auto"/>
                <w:kern w:val="0"/>
                <w:sz w:val="21"/>
                <w:szCs w:val="21"/>
              </w:rPr>
              <w:t>本课题在教育部提出地方本科高校实现四个真正转变的背景下，针对转型高校的专业“怎么改、改什么”的问题提出转型高校“多方位、深层次”的专业改革机制研究。经过几年的探索，形成了一系列理论研究成果，提出了专业综合改革的具体操作流程和要点，形成了人才培养模块化的课程体系，在强化专业内涵、促进资源建设、促进教师转型，提升培养质量等方面取得了显著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4" w:hRule="atLeast"/>
          <w:jc w:val="center"/>
        </w:trPr>
        <w:tc>
          <w:tcPr>
            <w:tcW w:w="13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Arial" w:hAnsi="Arial" w:cs="Arial"/>
                <w:color w:val="auto"/>
                <w:spacing w:val="-4"/>
                <w:sz w:val="24"/>
              </w:rPr>
            </w:pPr>
          </w:p>
        </w:tc>
        <w:tc>
          <w:tcPr>
            <w:tcW w:w="88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hint="default" w:ascii="Arial" w:hAnsi="Arial" w:cs="Arial"/>
                <w:color w:val="auto"/>
                <w:szCs w:val="21"/>
              </w:rPr>
            </w:pPr>
            <w:r>
              <w:rPr>
                <w:rFonts w:hint="default" w:ascii="Arial" w:hAnsi="Arial" w:cs="Arial"/>
                <w:color w:val="auto"/>
                <w:szCs w:val="21"/>
              </w:rPr>
              <w:t>2</w:t>
            </w:r>
          </w:p>
        </w:tc>
        <w:tc>
          <w:tcPr>
            <w:tcW w:w="627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300" w:lineRule="auto"/>
              <w:ind w:right="0" w:rightChars="0"/>
              <w:jc w:val="both"/>
              <w:textAlignment w:val="auto"/>
              <w:outlineLvl w:val="9"/>
              <w:rPr>
                <w:rFonts w:hint="default" w:ascii="Arial" w:hAnsi="Arial" w:cs="Arial" w:eastAsiaTheme="minorEastAsia"/>
                <w:color w:val="auto"/>
                <w:kern w:val="0"/>
                <w:sz w:val="21"/>
                <w:szCs w:val="21"/>
              </w:rPr>
            </w:pPr>
            <w:r>
              <w:rPr>
                <w:rFonts w:hint="default" w:ascii="Arial" w:hAnsi="Arial" w:cs="Arial" w:eastAsiaTheme="minorEastAsia"/>
                <w:color w:val="auto"/>
                <w:kern w:val="0"/>
                <w:sz w:val="21"/>
                <w:szCs w:val="21"/>
              </w:rPr>
              <w:t>三维九方课堂软环境研究与实施（苏教高[2015]13号）</w:t>
            </w:r>
          </w:p>
          <w:p>
            <w:pPr>
              <w:keepNext w:val="0"/>
              <w:keepLines w:val="0"/>
              <w:pageBreakBefore w:val="0"/>
              <w:widowControl w:val="0"/>
              <w:kinsoku/>
              <w:wordWrap/>
              <w:overflowPunct/>
              <w:topLinePunct w:val="0"/>
              <w:autoSpaceDE/>
              <w:autoSpaceDN/>
              <w:bidi w:val="0"/>
              <w:adjustRightInd/>
              <w:snapToGrid/>
              <w:spacing w:before="0" w:beforeLines="50" w:after="0" w:afterLines="50" w:line="300" w:lineRule="auto"/>
              <w:ind w:right="0" w:rightChars="0" w:firstLine="420" w:firstLineChars="200"/>
              <w:jc w:val="both"/>
              <w:textAlignment w:val="auto"/>
              <w:outlineLvl w:val="9"/>
              <w:rPr>
                <w:rFonts w:hint="default" w:ascii="Arial" w:hAnsi="Arial" w:cs="Arial"/>
                <w:color w:val="auto"/>
                <w:sz w:val="24"/>
              </w:rPr>
            </w:pPr>
            <w:r>
              <w:rPr>
                <w:rFonts w:hint="default" w:ascii="Arial" w:hAnsi="Arial" w:cs="Arial" w:eastAsiaTheme="minorEastAsia"/>
                <w:color w:val="auto"/>
                <w:kern w:val="0"/>
                <w:sz w:val="21"/>
                <w:szCs w:val="21"/>
              </w:rPr>
              <w:t>课题组通过2年的改革实践，构建了三维九方课堂软环境育人的体系，建立并实践了新的课堂文化，形成了适应新课堂文化的教学模式，实现了通识教育、专业教育、职业教育三教融合的内容体系改革。在电子信息工程、通信工程、软件工程、计算机科学与技术、网络工程专业进行实践探索，提高了人才培养质量，具有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4" w:hRule="atLeast"/>
          <w:jc w:val="center"/>
        </w:trPr>
        <w:tc>
          <w:tcPr>
            <w:tcW w:w="13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Arial" w:hAnsi="Arial" w:cs="Arial"/>
                <w:color w:val="auto"/>
                <w:spacing w:val="-4"/>
                <w:sz w:val="24"/>
              </w:rPr>
            </w:pPr>
          </w:p>
        </w:tc>
        <w:tc>
          <w:tcPr>
            <w:tcW w:w="88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hint="default" w:ascii="Arial" w:hAnsi="Arial" w:cs="Arial"/>
                <w:color w:val="auto"/>
                <w:szCs w:val="21"/>
              </w:rPr>
            </w:pPr>
            <w:r>
              <w:rPr>
                <w:rFonts w:hint="default" w:ascii="Arial" w:hAnsi="Arial" w:cs="Arial"/>
                <w:color w:val="auto"/>
                <w:szCs w:val="21"/>
              </w:rPr>
              <w:t>3</w:t>
            </w:r>
          </w:p>
        </w:tc>
        <w:tc>
          <w:tcPr>
            <w:tcW w:w="627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300" w:lineRule="auto"/>
              <w:ind w:right="0" w:rightChars="0"/>
              <w:jc w:val="both"/>
              <w:textAlignment w:val="auto"/>
              <w:outlineLvl w:val="9"/>
              <w:rPr>
                <w:rFonts w:hint="default" w:ascii="Arial" w:hAnsi="Arial" w:cs="Arial" w:eastAsiaTheme="minorEastAsia"/>
                <w:color w:val="auto"/>
                <w:kern w:val="0"/>
                <w:sz w:val="21"/>
                <w:szCs w:val="21"/>
              </w:rPr>
            </w:pPr>
            <w:r>
              <w:rPr>
                <w:rFonts w:hint="default" w:ascii="Arial" w:hAnsi="Arial" w:cs="Arial" w:eastAsiaTheme="minorEastAsia"/>
                <w:color w:val="auto"/>
                <w:kern w:val="0"/>
                <w:sz w:val="21"/>
                <w:szCs w:val="21"/>
              </w:rPr>
              <w:t>JAVA程序设计（苏教高（2016）14号）</w:t>
            </w:r>
          </w:p>
          <w:p>
            <w:pPr>
              <w:keepNext w:val="0"/>
              <w:keepLines w:val="0"/>
              <w:pageBreakBefore w:val="0"/>
              <w:widowControl w:val="0"/>
              <w:kinsoku/>
              <w:wordWrap/>
              <w:overflowPunct/>
              <w:topLinePunct w:val="0"/>
              <w:autoSpaceDE/>
              <w:autoSpaceDN/>
              <w:bidi w:val="0"/>
              <w:adjustRightInd/>
              <w:snapToGrid/>
              <w:spacing w:before="0" w:beforeLines="50" w:after="0" w:afterLines="50" w:line="300" w:lineRule="auto"/>
              <w:ind w:right="0" w:rightChars="0" w:firstLine="420" w:firstLineChars="200"/>
              <w:jc w:val="both"/>
              <w:textAlignment w:val="auto"/>
              <w:outlineLvl w:val="9"/>
              <w:rPr>
                <w:rFonts w:hint="default" w:ascii="Arial" w:hAnsi="Arial" w:cs="Arial"/>
                <w:color w:val="auto"/>
                <w:sz w:val="24"/>
              </w:rPr>
            </w:pPr>
            <w:r>
              <w:rPr>
                <w:rFonts w:hint="default" w:ascii="Arial" w:hAnsi="Arial" w:cs="Arial" w:eastAsiaTheme="minorEastAsia"/>
                <w:color w:val="auto"/>
                <w:kern w:val="0"/>
                <w:sz w:val="21"/>
                <w:szCs w:val="21"/>
              </w:rPr>
              <w:t>本课程主要教学内容包括Java语言概述、Java开发环境、Java程序设计基础、面向对象程序设计、集合类的使用、异常处理、Java I/O数据流、Java多线程机制、JDBC数据库编程、Java网络编程等。通过本课程的学习，有助于学生理解和掌握面向对象编程方法，学会用Java语言编写程序，使学生具有Java桌面应用程序开发能力，为后续Java Web开发和Android开发，奠定Java语言基础。课程教学团队包括高校教师和企业工程师，共同开发课程资源和微课，已于2017年9月正式上线，教学效果良好。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4" w:hRule="atLeast"/>
          <w:jc w:val="center"/>
        </w:trPr>
        <w:tc>
          <w:tcPr>
            <w:tcW w:w="13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Arial" w:hAnsi="Arial" w:cs="Arial"/>
                <w:color w:val="auto"/>
                <w:spacing w:val="-4"/>
                <w:sz w:val="24"/>
              </w:rPr>
            </w:pPr>
          </w:p>
        </w:tc>
        <w:tc>
          <w:tcPr>
            <w:tcW w:w="88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hint="default" w:ascii="Arial" w:hAnsi="Arial" w:cs="Arial"/>
                <w:color w:val="auto"/>
                <w:szCs w:val="21"/>
              </w:rPr>
            </w:pPr>
            <w:r>
              <w:rPr>
                <w:rFonts w:hint="default" w:ascii="Arial" w:hAnsi="Arial" w:cs="Arial"/>
                <w:color w:val="auto"/>
                <w:szCs w:val="21"/>
              </w:rPr>
              <w:t>4</w:t>
            </w:r>
          </w:p>
        </w:tc>
        <w:tc>
          <w:tcPr>
            <w:tcW w:w="627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300" w:lineRule="auto"/>
              <w:ind w:right="0" w:rightChars="0"/>
              <w:jc w:val="both"/>
              <w:textAlignment w:val="auto"/>
              <w:outlineLvl w:val="9"/>
              <w:rPr>
                <w:rFonts w:hint="default" w:ascii="Arial" w:hAnsi="Arial" w:cs="Arial" w:eastAsiaTheme="minorEastAsia"/>
                <w:color w:val="auto"/>
                <w:kern w:val="0"/>
                <w:sz w:val="21"/>
                <w:szCs w:val="21"/>
              </w:rPr>
            </w:pPr>
            <w:r>
              <w:rPr>
                <w:rFonts w:hint="default" w:ascii="Arial" w:hAnsi="Arial" w:cs="Arial" w:eastAsiaTheme="minorEastAsia"/>
                <w:color w:val="auto"/>
                <w:kern w:val="0"/>
                <w:sz w:val="21"/>
                <w:szCs w:val="21"/>
              </w:rPr>
              <w:t>江苏省第五届大学生创新创业大赛二等奖——萌邦网络（苏教高﹝2016﹞20号）</w:t>
            </w:r>
          </w:p>
          <w:p>
            <w:pPr>
              <w:keepNext w:val="0"/>
              <w:keepLines w:val="0"/>
              <w:pageBreakBefore w:val="0"/>
              <w:widowControl w:val="0"/>
              <w:kinsoku/>
              <w:wordWrap/>
              <w:overflowPunct/>
              <w:topLinePunct w:val="0"/>
              <w:autoSpaceDE/>
              <w:autoSpaceDN/>
              <w:bidi w:val="0"/>
              <w:adjustRightInd/>
              <w:snapToGrid/>
              <w:spacing w:before="0" w:beforeLines="50" w:after="0" w:afterLines="50" w:line="300" w:lineRule="auto"/>
              <w:ind w:right="0" w:rightChars="0" w:firstLine="420" w:firstLineChars="200"/>
              <w:jc w:val="both"/>
              <w:textAlignment w:val="auto"/>
              <w:outlineLvl w:val="9"/>
              <w:rPr>
                <w:rFonts w:hint="default" w:ascii="Arial" w:hAnsi="Arial" w:cs="Arial"/>
                <w:color w:val="auto"/>
                <w:szCs w:val="21"/>
              </w:rPr>
            </w:pPr>
            <w:r>
              <w:rPr>
                <w:rFonts w:hint="default" w:ascii="Arial" w:hAnsi="Arial" w:cs="Arial" w:eastAsiaTheme="minorEastAsia"/>
                <w:color w:val="auto"/>
                <w:kern w:val="0"/>
                <w:sz w:val="21"/>
                <w:szCs w:val="21"/>
              </w:rPr>
              <w:t>萌邦网络是江苏省第五届大学生创新创业大赛参赛项目，获得二等奖。萌邦网络是向年轻用户免费提供的一款录屏软件，该软件可以追溯用户按下快捷键之前15到45秒的视频内容，使用户在视频公开课学习、体育赛事观看或游戏等活动中可以得到自己需要的优质短视频，方便用户保存并分享他们的学习、生活和娱乐当中的精彩视频内容。未来这一录屏软件将会被移植到智能电视或手机中。</w:t>
            </w:r>
          </w:p>
        </w:tc>
      </w:tr>
    </w:tbl>
    <w:p>
      <w:pPr>
        <w:rPr>
          <w:rFonts w:hint="default" w:ascii="Arial" w:hAnsi="Arial" w:eastAsia="黑体" w:cs="Arial"/>
          <w:color w:val="auto"/>
          <w:sz w:val="32"/>
          <w:szCs w:val="32"/>
        </w:rPr>
      </w:pPr>
    </w:p>
    <w:p>
      <w:pPr>
        <w:rPr>
          <w:rFonts w:hint="default" w:ascii="Arial" w:hAnsi="Arial" w:eastAsia="黑体" w:cs="Arial"/>
          <w:color w:val="auto"/>
          <w:sz w:val="32"/>
          <w:szCs w:val="32"/>
        </w:rPr>
      </w:pPr>
    </w:p>
    <w:p>
      <w:pPr>
        <w:rPr>
          <w:rFonts w:hint="default" w:ascii="Arial" w:hAnsi="Arial" w:eastAsia="黑体" w:cs="Arial"/>
          <w:color w:val="auto"/>
          <w:sz w:val="32"/>
          <w:szCs w:val="32"/>
        </w:rPr>
      </w:pPr>
    </w:p>
    <w:p>
      <w:pPr>
        <w:numPr>
          <w:ilvl w:val="0"/>
          <w:numId w:val="8"/>
        </w:numPr>
        <w:rPr>
          <w:rFonts w:hint="default" w:ascii="Arial" w:hAnsi="Arial" w:eastAsia="黑体" w:cs="Arial"/>
          <w:color w:val="auto"/>
          <w:sz w:val="32"/>
          <w:szCs w:val="32"/>
        </w:rPr>
      </w:pPr>
      <w:r>
        <w:rPr>
          <w:rFonts w:hint="default" w:ascii="Arial" w:hAnsi="Arial" w:eastAsia="黑体" w:cs="Arial"/>
          <w:color w:val="auto"/>
          <w:sz w:val="32"/>
          <w:szCs w:val="32"/>
        </w:rPr>
        <w:t>建设期内本专业“精彩三事例”</w:t>
      </w:r>
    </w:p>
    <w:tbl>
      <w:tblPr>
        <w:tblStyle w:val="2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hint="default" w:ascii="Arial" w:hAnsi="Arial" w:cs="Arial"/>
                <w:color w:val="auto"/>
                <w:sz w:val="24"/>
                <w:szCs w:val="22"/>
              </w:rPr>
            </w:pPr>
            <w:r>
              <w:rPr>
                <w:rFonts w:hint="default" w:ascii="Arial" w:hAnsi="Arial" w:cs="Arial"/>
                <w:color w:val="auto"/>
                <w:sz w:val="24"/>
              </w:rPr>
              <w:t>序号</w:t>
            </w:r>
          </w:p>
        </w:tc>
        <w:tc>
          <w:tcPr>
            <w:tcW w:w="7157"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hint="default" w:ascii="Arial" w:hAnsi="Arial" w:cs="Arial"/>
                <w:color w:val="auto"/>
                <w:sz w:val="24"/>
                <w:szCs w:val="22"/>
              </w:rPr>
            </w:pPr>
            <w:r>
              <w:rPr>
                <w:rFonts w:hint="default" w:ascii="Arial" w:hAnsi="Arial" w:cs="Arial"/>
                <w:color w:val="auto"/>
                <w:sz w:val="24"/>
                <w:szCs w:val="22"/>
              </w:rPr>
              <w:t>事情及“精彩”的理由</w:t>
            </w:r>
            <w:r>
              <w:rPr>
                <w:rStyle w:val="29"/>
                <w:rFonts w:hint="default" w:ascii="Arial" w:hAnsi="Arial" w:cs="Arial"/>
                <w:b/>
                <w:color w:val="auto"/>
                <w:sz w:val="28"/>
                <w:szCs w:val="28"/>
              </w:rPr>
              <w:footnoteReference w:id="3"/>
            </w:r>
            <w:r>
              <w:rPr>
                <w:rFonts w:hint="default" w:ascii="Arial" w:hAnsi="Arial" w:cs="Arial"/>
                <w:color w:val="auto"/>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default" w:ascii="Arial" w:hAnsi="Arial" w:cs="Arial"/>
                <w:color w:val="auto"/>
                <w:spacing w:val="-4"/>
                <w:sz w:val="24"/>
              </w:rPr>
            </w:pPr>
            <w:r>
              <w:rPr>
                <w:rFonts w:hint="default" w:ascii="Arial" w:hAnsi="Arial" w:cs="Arial"/>
                <w:color w:val="auto"/>
                <w:spacing w:val="-4"/>
                <w:sz w:val="24"/>
              </w:rPr>
              <w:t>1</w:t>
            </w:r>
          </w:p>
        </w:tc>
        <w:tc>
          <w:tcPr>
            <w:tcW w:w="7157"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Theme="minorHAnsi" w:hAnsiTheme="minorHAnsi" w:eastAsiaTheme="minorEastAsia" w:cstheme="minorBidi"/>
                <w:color w:val="000000" w:themeColor="text1"/>
                <w:kern w:val="2"/>
                <w14:textFill>
                  <w14:solidFill>
                    <w14:schemeClr w14:val="tx1"/>
                  </w14:solidFill>
                </w14:textFill>
              </w:rPr>
            </w:pPr>
            <w:r>
              <w:rPr>
                <w:rFonts w:hint="eastAsia"/>
                <w:color w:val="000000" w:themeColor="text1"/>
                <w:sz w:val="24"/>
                <w14:textFill>
                  <w14:solidFill>
                    <w14:schemeClr w14:val="tx1"/>
                  </w14:solidFill>
                </w14:textFill>
              </w:rPr>
              <w:t>电子信息工程专业“阶梯式”实践教学体系</w:t>
            </w:r>
          </w:p>
          <w:p>
            <w:pPr>
              <w:spacing w:before="120" w:beforeLines="50" w:after="120" w:afterLines="50"/>
              <w:rPr>
                <w:rFonts w:hint="default" w:ascii="Arial" w:hAnsi="Arial" w:cs="Arial"/>
                <w:color w:val="auto"/>
                <w:szCs w:val="21"/>
              </w:rPr>
            </w:pPr>
            <w:r>
              <w:rPr>
                <w:rFonts w:asciiTheme="minorHAnsi" w:hAnsiTheme="minorHAnsi" w:eastAsiaTheme="minorEastAsia" w:cstheme="minorBidi"/>
                <w:color w:val="000000" w:themeColor="text1"/>
                <w:kern w:val="2"/>
                <w14:textFill>
                  <w14:solidFill>
                    <w14:schemeClr w14:val="tx1"/>
                  </w14:solidFill>
                </w14:textFill>
              </w:rPr>
              <w:t>三江学院电子信息工程专业以省级品牌专业</w:t>
            </w:r>
            <w:r>
              <w:rPr>
                <w:rFonts w:hint="eastAsia" w:asciiTheme="minorHAnsi" w:hAnsiTheme="minorHAnsi" w:eastAsiaTheme="minorEastAsia" w:cstheme="minorBidi"/>
                <w:color w:val="000000" w:themeColor="text1"/>
                <w:kern w:val="2"/>
                <w14:textFill>
                  <w14:solidFill>
                    <w14:schemeClr w14:val="tx1"/>
                  </w14:solidFill>
                </w14:textFill>
              </w:rPr>
              <w:t>的</w:t>
            </w:r>
            <w:r>
              <w:rPr>
                <w:rFonts w:asciiTheme="minorHAnsi" w:hAnsiTheme="minorHAnsi" w:eastAsiaTheme="minorEastAsia" w:cstheme="minorBidi"/>
                <w:color w:val="000000" w:themeColor="text1"/>
                <w:kern w:val="2"/>
                <w14:textFill>
                  <w14:solidFill>
                    <w14:schemeClr w14:val="tx1"/>
                  </w14:solidFill>
                </w14:textFill>
              </w:rPr>
              <w:t>实践教学</w:t>
            </w:r>
            <w:r>
              <w:rPr>
                <w:rFonts w:hint="eastAsia" w:asciiTheme="minorHAnsi" w:hAnsiTheme="minorHAnsi" w:eastAsiaTheme="minorEastAsia" w:cstheme="minorBidi"/>
                <w:color w:val="000000" w:themeColor="text1"/>
                <w:kern w:val="2"/>
                <w:lang w:val="en-US" w:eastAsia="zh-CN"/>
                <w14:textFill>
                  <w14:solidFill>
                    <w14:schemeClr w14:val="tx1"/>
                  </w14:solidFill>
                </w14:textFill>
              </w:rPr>
              <w:t>平台</w:t>
            </w:r>
            <w:r>
              <w:rPr>
                <w:rFonts w:asciiTheme="minorHAnsi" w:hAnsiTheme="minorHAnsi" w:eastAsiaTheme="minorEastAsia" w:cstheme="minorBidi"/>
                <w:color w:val="000000" w:themeColor="text1"/>
                <w:kern w:val="2"/>
                <w14:textFill>
                  <w14:solidFill>
                    <w14:schemeClr w14:val="tx1"/>
                  </w14:solidFill>
                </w14:textFill>
              </w:rPr>
              <w:t>为依托，充分利用</w:t>
            </w:r>
            <w:r>
              <w:rPr>
                <w:rFonts w:hint="eastAsia" w:asciiTheme="minorHAnsi" w:hAnsiTheme="minorHAnsi" w:eastAsiaTheme="minorEastAsia" w:cstheme="minorBidi"/>
                <w:color w:val="000000" w:themeColor="text1"/>
                <w:kern w:val="2"/>
                <w14:textFill>
                  <w14:solidFill>
                    <w14:schemeClr w14:val="tx1"/>
                  </w14:solidFill>
                </w14:textFill>
              </w:rPr>
              <w:t>浙江</w:t>
            </w:r>
            <w:r>
              <w:rPr>
                <w:rFonts w:asciiTheme="minorHAnsi" w:hAnsiTheme="minorHAnsi" w:eastAsiaTheme="minorEastAsia" w:cstheme="minorBidi"/>
                <w:color w:val="000000" w:themeColor="text1"/>
                <w:kern w:val="2"/>
                <w14:textFill>
                  <w14:solidFill>
                    <w14:schemeClr w14:val="tx1"/>
                  </w14:solidFill>
                </w14:textFill>
              </w:rPr>
              <w:t>华为有限公司、中电光伏（南京）有限公司等校外实训基地，构建“中心+基地”的实践教学大平台，</w:t>
            </w:r>
            <w:r>
              <w:rPr>
                <w:rFonts w:hint="eastAsia" w:asciiTheme="minorHAnsi" w:hAnsiTheme="minorHAnsi" w:eastAsiaTheme="minorEastAsia" w:cstheme="minorBidi"/>
                <w:color w:val="000000" w:themeColor="text1"/>
                <w:kern w:val="2"/>
                <w14:textFill>
                  <w14:solidFill>
                    <w14:schemeClr w14:val="tx1"/>
                  </w14:solidFill>
                </w14:textFill>
              </w:rPr>
              <w:t>创设</w:t>
            </w:r>
            <w:r>
              <w:rPr>
                <w:rFonts w:asciiTheme="minorHAnsi" w:hAnsiTheme="minorHAnsi" w:eastAsiaTheme="minorEastAsia" w:cstheme="minorBidi"/>
                <w:color w:val="000000" w:themeColor="text1"/>
                <w:kern w:val="2"/>
                <w14:textFill>
                  <w14:solidFill>
                    <w14:schemeClr w14:val="tx1"/>
                  </w14:solidFill>
                </w14:textFill>
              </w:rPr>
              <w:t>层次化、模块化、软硬结合的 “阶梯式”实践教学创新体系</w:t>
            </w:r>
            <w:r>
              <w:rPr>
                <w:rFonts w:hint="eastAsia" w:asciiTheme="minorHAnsi" w:hAnsiTheme="minorHAnsi" w:eastAsiaTheme="minorEastAsia" w:cstheme="minorBidi"/>
                <w:color w:val="000000" w:themeColor="text1"/>
                <w:kern w:val="2"/>
                <w:lang w:eastAsia="zh-CN"/>
                <w14:textFill>
                  <w14:solidFill>
                    <w14:schemeClr w14:val="tx1"/>
                  </w14:solidFill>
                </w14:textFill>
              </w:rPr>
              <w:t>，</w:t>
            </w:r>
            <w:r>
              <w:rPr>
                <w:rFonts w:hint="eastAsia" w:asciiTheme="minorHAnsi" w:hAnsiTheme="minorHAnsi" w:eastAsiaTheme="minorEastAsia" w:cstheme="minorBidi"/>
                <w:color w:val="000000" w:themeColor="text1"/>
                <w:kern w:val="2"/>
                <w:lang w:val="en-US" w:eastAsia="zh-CN"/>
                <w14:textFill>
                  <w14:solidFill>
                    <w14:schemeClr w14:val="tx1"/>
                  </w14:solidFill>
                </w14:textFill>
              </w:rPr>
              <w:t>为培养创新型、能力型应用型本科人才，起到重要的推动作用，使得动手能力强的学生高品质就业之路越来越宽广，受到用人单位和考研深造的高校的欢迎；详见精彩事件附件1。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default" w:ascii="Arial" w:hAnsi="Arial" w:cs="Arial"/>
                <w:color w:val="auto"/>
                <w:spacing w:val="-4"/>
                <w:sz w:val="24"/>
              </w:rPr>
            </w:pPr>
            <w:r>
              <w:rPr>
                <w:rFonts w:hint="default" w:ascii="Arial" w:hAnsi="Arial" w:cs="Arial"/>
                <w:color w:val="auto"/>
                <w:spacing w:val="-4"/>
                <w:sz w:val="24"/>
              </w:rPr>
              <w:t>2</w:t>
            </w:r>
          </w:p>
        </w:tc>
        <w:tc>
          <w:tcPr>
            <w:tcW w:w="7157" w:type="dxa"/>
            <w:tcBorders>
              <w:top w:val="single" w:color="auto" w:sz="4" w:space="0"/>
              <w:left w:val="single" w:color="auto" w:sz="4" w:space="0"/>
              <w:bottom w:val="single" w:color="auto" w:sz="4" w:space="0"/>
              <w:right w:val="single" w:color="auto" w:sz="4" w:space="0"/>
            </w:tcBorders>
            <w:vAlign w:val="center"/>
          </w:tcPr>
          <w:p>
            <w:pPr>
              <w:pStyle w:val="3"/>
              <w:bidi w:val="0"/>
              <w:rPr>
                <w:rFonts w:hint="default"/>
                <w:lang w:val="en-US"/>
              </w:rPr>
            </w:pPr>
            <w:r>
              <w:t>产教融合</w:t>
            </w:r>
            <w:r>
              <w:rPr>
                <w:rFonts w:hint="eastAsia"/>
                <w:lang w:val="en-US" w:eastAsia="zh-CN"/>
              </w:rPr>
              <w:t>的典范----国内首套校企共建的4GLTE移动通信技术系列教程</w:t>
            </w:r>
          </w:p>
          <w:p>
            <w:pPr>
              <w:ind w:firstLine="480"/>
              <w:rPr>
                <w:rFonts w:hint="eastAsia"/>
                <w:sz w:val="24"/>
                <w:szCs w:val="24"/>
                <w:lang w:val="en-US" w:eastAsia="zh-CN"/>
              </w:rPr>
            </w:pPr>
            <w:r>
              <w:rPr>
                <w:rFonts w:hint="eastAsia"/>
                <w:sz w:val="24"/>
                <w:szCs w:val="24"/>
                <w:lang w:val="en-US" w:eastAsia="zh-CN"/>
              </w:rPr>
              <w:t>为了创建示范性的应用型本科品牌专业，我们坚定不移地走校企合作之路，取得丰硕成果;由我们发起，华为全球培训中心砥砺支持与华为专家参与，联合国内十余所高校相关专业教授，历时2年，经过许多次教学与产业的对撞、切磋、磨合、优化，终于于2017年底由人民邮电出版社出版国内首套校企共建的4GLTE移动通信技术系列教程（一套四部），在国内很快形成影响力，在多个应用型本科高校获得推广，也成为华为ICT职业培训的指定用书;出版不到一年，已再版多次，受到广泛的好评，在国内形成影响力。</w:t>
            </w:r>
          </w:p>
          <w:p>
            <w:pPr>
              <w:spacing w:before="120" w:beforeLines="50" w:after="120" w:afterLines="50"/>
              <w:rPr>
                <w:rFonts w:hint="default" w:ascii="Arial" w:hAnsi="Arial"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default" w:ascii="Arial" w:hAnsi="Arial" w:cs="Arial"/>
                <w:color w:val="auto"/>
                <w:spacing w:val="-4"/>
                <w:sz w:val="24"/>
              </w:rPr>
            </w:pPr>
            <w:r>
              <w:rPr>
                <w:rFonts w:hint="default" w:ascii="Arial" w:hAnsi="Arial" w:cs="Arial"/>
                <w:color w:val="auto"/>
                <w:spacing w:val="-4"/>
                <w:sz w:val="24"/>
              </w:rPr>
              <w:t>3</w:t>
            </w:r>
          </w:p>
        </w:tc>
        <w:tc>
          <w:tcPr>
            <w:tcW w:w="7157" w:type="dxa"/>
            <w:tcBorders>
              <w:top w:val="single" w:color="auto" w:sz="4" w:space="0"/>
              <w:left w:val="single" w:color="auto" w:sz="4" w:space="0"/>
              <w:bottom w:val="single" w:color="auto" w:sz="4" w:space="0"/>
              <w:right w:val="single" w:color="auto" w:sz="4" w:space="0"/>
            </w:tcBorders>
            <w:vAlign w:val="center"/>
          </w:tcPr>
          <w:p>
            <w:pPr>
              <w:pStyle w:val="3"/>
              <w:bidi w:val="0"/>
              <w:rPr>
                <w:rFonts w:hint="eastAsia"/>
                <w:lang w:val="en-US" w:eastAsia="zh-CN"/>
              </w:rPr>
            </w:pPr>
            <w:r>
              <w:rPr>
                <w:rFonts w:hint="eastAsia"/>
                <w:lang w:val="en-US" w:eastAsia="zh-CN"/>
              </w:rPr>
              <w:t>引进欧洲工程教育模式的项目式教学示范</w:t>
            </w:r>
          </w:p>
          <w:p>
            <w:pPr>
              <w:spacing w:line="300" w:lineRule="auto"/>
              <w:ind w:firstLine="480" w:firstLineChars="200"/>
              <w:rPr>
                <w:rFonts w:ascii="黑体" w:hAnsi="黑体" w:eastAsia="黑体"/>
                <w:b w:val="0"/>
              </w:rPr>
            </w:pPr>
            <w:r>
              <w:rPr>
                <w:rFonts w:hint="eastAsia" w:ascii="Times New Roman" w:hAnsi="Times New Roman" w:eastAsia="宋体"/>
                <w:sz w:val="24"/>
              </w:rPr>
              <w:t>目前国内应用型高校都在大力开展工程教育。自</w:t>
            </w:r>
            <w:r>
              <w:rPr>
                <w:rFonts w:hint="eastAsia" w:ascii="Times New Roman" w:hAnsi="Times New Roman" w:eastAsia="宋体"/>
                <w:sz w:val="24"/>
                <w:lang w:val="en-US" w:eastAsia="zh-CN"/>
              </w:rPr>
              <w:t>品牌专业建设以来，本专业和国际标杆大学------</w:t>
            </w:r>
            <w:r>
              <w:rPr>
                <w:rFonts w:hint="eastAsia" w:ascii="Times New Roman" w:hAnsi="Times New Roman" w:eastAsia="宋体"/>
                <w:sz w:val="24"/>
              </w:rPr>
              <w:t>荷兰著名的应用型高校萨克逊大学（荷兰，恩斯赫德，SAXION）</w:t>
            </w:r>
            <w:r>
              <w:rPr>
                <w:rFonts w:hint="eastAsia" w:ascii="Times New Roman" w:hAnsi="Times New Roman" w:eastAsia="宋体"/>
                <w:sz w:val="24"/>
                <w:lang w:val="en-US" w:eastAsia="zh-CN"/>
              </w:rPr>
              <w:t>加强</w:t>
            </w:r>
            <w:r>
              <w:rPr>
                <w:rFonts w:hint="eastAsia" w:ascii="Times New Roman" w:hAnsi="Times New Roman" w:eastAsia="宋体"/>
                <w:sz w:val="24"/>
              </w:rPr>
              <w:t>合作，先后选派</w:t>
            </w:r>
            <w:r>
              <w:rPr>
                <w:rFonts w:hint="eastAsia" w:ascii="Times New Roman" w:hAnsi="Times New Roman" w:eastAsia="宋体"/>
                <w:sz w:val="24"/>
                <w:lang w:val="en-US" w:eastAsia="zh-CN"/>
              </w:rPr>
              <w:t>10</w:t>
            </w:r>
            <w:r>
              <w:rPr>
                <w:rFonts w:hint="eastAsia" w:ascii="Times New Roman" w:hAnsi="Times New Roman" w:eastAsia="宋体"/>
                <w:sz w:val="24"/>
              </w:rPr>
              <w:t>名教师赴该校</w:t>
            </w:r>
            <w:r>
              <w:rPr>
                <w:rFonts w:hint="eastAsia" w:ascii="Times New Roman" w:hAnsi="Times New Roman" w:eastAsia="宋体"/>
                <w:sz w:val="24"/>
                <w:lang w:val="en-US" w:eastAsia="zh-CN"/>
              </w:rPr>
              <w:t>交流和短期访问学者，重点在于</w:t>
            </w:r>
            <w:r>
              <w:rPr>
                <w:rFonts w:hint="eastAsia" w:ascii="Times New Roman" w:hAnsi="Times New Roman" w:eastAsia="宋体"/>
                <w:sz w:val="24"/>
              </w:rPr>
              <w:t>学习吸收</w:t>
            </w:r>
            <w:r>
              <w:rPr>
                <w:rFonts w:hint="eastAsia" w:ascii="Times New Roman" w:hAnsi="Times New Roman" w:eastAsia="宋体"/>
                <w:sz w:val="24"/>
                <w:lang w:val="en-US" w:eastAsia="zh-CN"/>
              </w:rPr>
              <w:t>欧洲成熟先进的</w:t>
            </w:r>
            <w:r>
              <w:rPr>
                <w:rFonts w:hint="eastAsia" w:ascii="Times New Roman" w:hAnsi="Times New Roman" w:eastAsia="宋体"/>
                <w:sz w:val="24"/>
              </w:rPr>
              <w:t>工程教育模式</w:t>
            </w:r>
            <w:r>
              <w:rPr>
                <w:rFonts w:hint="eastAsia" w:ascii="Times New Roman" w:hAnsi="Times New Roman" w:eastAsia="宋体"/>
                <w:sz w:val="24"/>
                <w:lang w:eastAsia="zh-CN"/>
              </w:rPr>
              <w:t>、</w:t>
            </w:r>
            <w:r>
              <w:rPr>
                <w:rFonts w:hint="eastAsia" w:ascii="Times New Roman" w:hAnsi="Times New Roman" w:eastAsia="宋体"/>
                <w:sz w:val="24"/>
              </w:rPr>
              <w:t>应用型人才培养方法</w:t>
            </w:r>
            <w:r>
              <w:rPr>
                <w:rFonts w:hint="eastAsia" w:ascii="Times New Roman" w:hAnsi="Times New Roman" w:eastAsia="宋体"/>
                <w:sz w:val="24"/>
                <w:lang w:eastAsia="zh-CN"/>
              </w:rPr>
              <w:t>、</w:t>
            </w:r>
            <w:r>
              <w:rPr>
                <w:rFonts w:hint="eastAsia" w:ascii="Times New Roman" w:hAnsi="Times New Roman" w:eastAsia="宋体"/>
                <w:sz w:val="24"/>
                <w:lang w:val="en-US" w:eastAsia="zh-CN"/>
              </w:rPr>
              <w:t>相关</w:t>
            </w:r>
            <w:r>
              <w:rPr>
                <w:rFonts w:hint="eastAsia" w:ascii="Times New Roman" w:hAnsi="Times New Roman" w:eastAsia="宋体"/>
                <w:sz w:val="24"/>
              </w:rPr>
              <w:t>课程，并开展国际合作实践教学课程及国际合作实践教学研讨等活动，对荷兰SAXION大学工程教育背景下的课程体系、人才培养和实践教学模式有了</w:t>
            </w:r>
            <w:r>
              <w:rPr>
                <w:rFonts w:hint="eastAsia" w:ascii="Times New Roman" w:hAnsi="Times New Roman" w:eastAsia="宋体"/>
                <w:sz w:val="24"/>
                <w:lang w:val="en-US" w:eastAsia="zh-CN"/>
              </w:rPr>
              <w:t>不断深入</w:t>
            </w:r>
            <w:r>
              <w:rPr>
                <w:rFonts w:hint="eastAsia" w:ascii="Times New Roman" w:hAnsi="Times New Roman" w:eastAsia="宋体"/>
                <w:sz w:val="24"/>
              </w:rPr>
              <w:t>的认识和理解。在此背景下，针对</w:t>
            </w:r>
            <w:r>
              <w:rPr>
                <w:rFonts w:hint="eastAsia" w:ascii="Times New Roman" w:hAnsi="Times New Roman" w:eastAsia="宋体"/>
                <w:sz w:val="24"/>
                <w:lang w:val="en-US" w:eastAsia="zh-CN"/>
              </w:rPr>
              <w:t>过去专业的</w:t>
            </w:r>
            <w:r>
              <w:rPr>
                <w:rFonts w:hint="eastAsia" w:ascii="Times New Roman" w:hAnsi="Times New Roman" w:eastAsia="宋体"/>
                <w:sz w:val="24"/>
              </w:rPr>
              <w:t>实践教学模式和学生工程实践中存在不足，结合当前现代信息技术的广泛应用以及国际化人才培养的趋势，根据应用型</w:t>
            </w:r>
            <w:r>
              <w:rPr>
                <w:rFonts w:hint="eastAsia" w:ascii="Times New Roman" w:hAnsi="Times New Roman" w:eastAsia="宋体"/>
                <w:sz w:val="24"/>
                <w:lang w:val="en-US" w:eastAsia="zh-CN"/>
              </w:rPr>
              <w:t>本科</w:t>
            </w:r>
            <w:r>
              <w:rPr>
                <w:rFonts w:hint="eastAsia" w:ascii="Times New Roman" w:hAnsi="Times New Roman" w:eastAsia="宋体"/>
                <w:sz w:val="24"/>
              </w:rPr>
              <w:t>高校的学生特点，我院从2015年电子信息工程专业立项成为江苏省品牌专业建设点（A类）开始，便着手成立教学团队研究与推动电子信息类专业综合工程实训的教学改革</w:t>
            </w:r>
            <w:r>
              <w:rPr>
                <w:rFonts w:hint="eastAsia"/>
                <w:sz w:val="24"/>
                <w:lang w:eastAsia="zh-CN"/>
              </w:rPr>
              <w:t>；</w:t>
            </w:r>
            <w:r>
              <w:rPr>
                <w:rFonts w:hint="eastAsia" w:ascii="Times New Roman" w:hAnsi="Times New Roman" w:eastAsia="宋体"/>
                <w:sz w:val="24"/>
                <w:lang w:val="en-US" w:eastAsia="zh-CN"/>
              </w:rPr>
              <w:t>四年来，取得长足进展，并吸取欧洲工程实践教学模式，开展国际合作的项目式教学课程试点与示范，取得了较好的成果，形成本品牌专业相关实践课程的范式，正在积极推广中</w:t>
            </w:r>
            <w:r>
              <w:rPr>
                <w:rFonts w:hint="eastAsia" w:ascii="Times New Roman" w:hAnsi="Times New Roman" w:eastAsia="宋体"/>
                <w:sz w:val="24"/>
              </w:rPr>
              <w:t>。</w:t>
            </w:r>
          </w:p>
          <w:p>
            <w:pPr>
              <w:spacing w:line="300" w:lineRule="auto"/>
              <w:ind w:firstLine="480" w:firstLineChars="200"/>
              <w:rPr>
                <w:rFonts w:hint="default" w:ascii="Times New Roman" w:hAnsi="Times New Roman" w:eastAsia="宋体"/>
                <w:sz w:val="24"/>
                <w:lang w:val="en-US" w:eastAsia="zh-CN"/>
              </w:rPr>
            </w:pPr>
            <w:r>
              <w:rPr>
                <w:rFonts w:hint="eastAsia" w:ascii="Times New Roman" w:hAnsi="Times New Roman" w:eastAsia="宋体"/>
                <w:sz w:val="24"/>
              </w:rPr>
              <w:t>这次教学改革的</w:t>
            </w:r>
            <w:r>
              <w:rPr>
                <w:rFonts w:hint="eastAsia"/>
                <w:sz w:val="24"/>
                <w:lang w:val="en-US" w:eastAsia="zh-CN"/>
              </w:rPr>
              <w:t>意义在于</w:t>
            </w:r>
            <w:r>
              <w:rPr>
                <w:rFonts w:hint="eastAsia" w:ascii="Times New Roman" w:hAnsi="Times New Roman" w:eastAsia="宋体"/>
                <w:sz w:val="24"/>
              </w:rPr>
              <w:t>：针对我校应用型高校的学生特点，以欧洲工程教育国际合作为基础，围绕应用型人才培养目标，以国家工程教育认证标准为指导，以规范综合工程实训为理念，从实践教学内容、教学方法手段和考核等方面进行全面探索和改革，并最后通过团队合作共同完成独立项目的方式作为具体实施方式，建立一套引进欧洲工程教育V-Model模式的项目式实践教学新模式和新体系</w:t>
            </w:r>
            <w:r>
              <w:rPr>
                <w:rFonts w:hint="eastAsia"/>
                <w:sz w:val="24"/>
                <w:lang w:eastAsia="zh-CN"/>
              </w:rPr>
              <w:t>，</w:t>
            </w:r>
            <w:r>
              <w:rPr>
                <w:rFonts w:hint="eastAsia"/>
                <w:sz w:val="24"/>
                <w:lang w:val="en-US" w:eastAsia="zh-CN"/>
              </w:rPr>
              <w:t>受到学生广泛的欢迎，对应用型本科的工程教育实践起到引领和示范作用。</w:t>
            </w:r>
          </w:p>
          <w:p>
            <w:pPr>
              <w:spacing w:before="120" w:beforeLines="50" w:after="120" w:afterLines="50"/>
              <w:rPr>
                <w:rFonts w:hint="default" w:ascii="Arial" w:hAnsi="Arial" w:cs="Arial"/>
                <w:color w:val="auto"/>
                <w:szCs w:val="21"/>
              </w:rPr>
            </w:pPr>
          </w:p>
        </w:tc>
      </w:tr>
    </w:tbl>
    <w:p>
      <w:pPr>
        <w:numPr>
          <w:ilvl w:val="0"/>
          <w:numId w:val="8"/>
        </w:numPr>
        <w:rPr>
          <w:rFonts w:hint="default" w:ascii="Arial" w:hAnsi="Arial" w:eastAsia="黑体" w:cs="Arial"/>
          <w:color w:val="auto"/>
          <w:sz w:val="32"/>
          <w:szCs w:val="32"/>
        </w:rPr>
      </w:pPr>
      <w:r>
        <w:rPr>
          <w:rFonts w:hint="default" w:ascii="Arial" w:hAnsi="Arial" w:eastAsia="黑体" w:cs="Arial"/>
          <w:color w:val="auto"/>
          <w:sz w:val="32"/>
          <w:szCs w:val="32"/>
        </w:rPr>
        <w:t>省财政专项资金投入及使用情况</w:t>
      </w:r>
    </w:p>
    <w:p>
      <w:pPr>
        <w:widowControl w:val="0"/>
        <w:numPr>
          <w:ilvl w:val="0"/>
          <w:numId w:val="0"/>
        </w:numPr>
        <w:jc w:val="both"/>
        <w:rPr>
          <w:rFonts w:hint="default" w:ascii="Arial" w:hAnsi="Arial" w:eastAsia="黑体" w:cs="Arial"/>
          <w:color w:val="auto"/>
          <w:sz w:val="32"/>
          <w:szCs w:val="32"/>
        </w:rPr>
      </w:pPr>
    </w:p>
    <w:tbl>
      <w:tblPr>
        <w:tblStyle w:val="23"/>
        <w:tblpPr w:leftFromText="180" w:rightFromText="180" w:vertAnchor="text" w:tblpY="1"/>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93"/>
        <w:gridCol w:w="633"/>
        <w:gridCol w:w="773"/>
        <w:gridCol w:w="194"/>
        <w:gridCol w:w="1486"/>
        <w:gridCol w:w="1679"/>
        <w:gridCol w:w="54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trPr>
        <w:tc>
          <w:tcPr>
            <w:tcW w:w="9322" w:type="dxa"/>
            <w:gridSpan w:val="9"/>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r>
              <w:rPr>
                <w:b/>
                <w:color w:val="auto"/>
                <w:sz w:val="24"/>
              </w:rPr>
              <w:t>2015-201</w:t>
            </w:r>
            <w:r>
              <w:rPr>
                <w:rFonts w:hint="eastAsia"/>
                <w:b/>
                <w:color w:val="auto"/>
                <w:sz w:val="24"/>
                <w:lang w:val="en-US" w:eastAsia="zh-CN"/>
              </w:rPr>
              <w:t>8</w:t>
            </w:r>
            <w:r>
              <w:rPr>
                <w:b/>
                <w:color w:val="auto"/>
                <w:sz w:val="24"/>
              </w:rPr>
              <w:t>年省财政已投入经费总额：</w:t>
            </w:r>
            <w:r>
              <w:rPr>
                <w:rFonts w:hint="eastAsia"/>
                <w:b/>
                <w:color w:val="auto"/>
                <w:sz w:val="24"/>
                <w:lang w:val="en-US" w:eastAsia="zh-CN"/>
              </w:rPr>
              <w:t>670</w:t>
            </w:r>
            <w:r>
              <w:rPr>
                <w:b/>
                <w:color w:val="auto"/>
                <w:sz w:val="24"/>
              </w:rPr>
              <w:t xml:space="preserve"> 万元（请依据附件5填写）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1384" w:type="dxa"/>
            <w:vMerge w:val="restart"/>
            <w:tcBorders>
              <w:top w:val="single" w:color="auto" w:sz="4" w:space="0"/>
              <w:left w:val="single" w:color="auto" w:sz="4" w:space="0"/>
              <w:right w:val="single" w:color="auto" w:sz="4" w:space="0"/>
            </w:tcBorders>
            <w:vAlign w:val="center"/>
          </w:tcPr>
          <w:p>
            <w:pPr>
              <w:rPr>
                <w:b/>
                <w:color w:val="auto"/>
                <w:szCs w:val="21"/>
              </w:rPr>
            </w:pPr>
            <w:r>
              <w:rPr>
                <w:b/>
                <w:color w:val="auto"/>
                <w:szCs w:val="21"/>
              </w:rPr>
              <w:t>2015-201</w:t>
            </w:r>
            <w:r>
              <w:rPr>
                <w:rFonts w:hint="eastAsia"/>
                <w:b/>
                <w:color w:val="auto"/>
                <w:szCs w:val="21"/>
                <w:lang w:val="en-US" w:eastAsia="zh-CN"/>
              </w:rPr>
              <w:t>8</w:t>
            </w:r>
            <w:r>
              <w:rPr>
                <w:b/>
                <w:color w:val="auto"/>
                <w:szCs w:val="21"/>
              </w:rPr>
              <w:t>年</w:t>
            </w:r>
          </w:p>
          <w:p>
            <w:pPr>
              <w:jc w:val="center"/>
              <w:rPr>
                <w:b/>
                <w:color w:val="auto"/>
                <w:szCs w:val="21"/>
              </w:rPr>
            </w:pPr>
            <w:r>
              <w:rPr>
                <w:b/>
                <w:color w:val="auto"/>
                <w:szCs w:val="21"/>
              </w:rPr>
              <w:t>支出情况</w:t>
            </w:r>
          </w:p>
          <w:p>
            <w:pPr>
              <w:rPr>
                <w:b/>
                <w:color w:val="auto"/>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r>
              <w:rPr>
                <w:b/>
                <w:color w:val="auto"/>
                <w:szCs w:val="21"/>
              </w:rPr>
              <w:t>支出科目</w:t>
            </w:r>
            <w:r>
              <w:rPr>
                <w:rStyle w:val="29"/>
                <w:b/>
                <w:color w:val="auto"/>
                <w:szCs w:val="21"/>
              </w:rPr>
              <w:footnoteReference w:id="4"/>
            </w:r>
          </w:p>
        </w:tc>
        <w:tc>
          <w:tcPr>
            <w:tcW w:w="4678" w:type="dxa"/>
            <w:gridSpan w:val="5"/>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r>
              <w:rPr>
                <w:b/>
                <w:color w:val="auto"/>
                <w:szCs w:val="21"/>
              </w:rPr>
              <w:t>支出内容</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r>
              <w:rPr>
                <w:b/>
                <w:color w:val="auto"/>
                <w:szCs w:val="21"/>
              </w:rPr>
              <w:t>支出经费</w:t>
            </w:r>
          </w:p>
          <w:p>
            <w:pPr>
              <w:jc w:val="center"/>
              <w:rPr>
                <w:b/>
                <w:color w:val="auto"/>
                <w:szCs w:val="21"/>
              </w:rPr>
            </w:pPr>
            <w:r>
              <w:rPr>
                <w:b/>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exact"/>
        </w:trPr>
        <w:tc>
          <w:tcPr>
            <w:tcW w:w="1384" w:type="dxa"/>
            <w:vMerge w:val="continue"/>
            <w:tcBorders>
              <w:left w:val="single" w:color="auto" w:sz="4" w:space="0"/>
              <w:right w:val="single" w:color="auto" w:sz="4" w:space="0"/>
            </w:tcBorders>
            <w:vAlign w:val="center"/>
          </w:tcPr>
          <w:p>
            <w:pPr>
              <w:jc w:val="center"/>
              <w:rPr>
                <w:b/>
                <w:color w:val="auto"/>
                <w:szCs w:val="21"/>
              </w:rPr>
            </w:pPr>
          </w:p>
        </w:tc>
        <w:tc>
          <w:tcPr>
            <w:tcW w:w="2126" w:type="dxa"/>
            <w:gridSpan w:val="2"/>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教师发展与教学团队建设</w:t>
            </w:r>
          </w:p>
        </w:tc>
        <w:tc>
          <w:tcPr>
            <w:tcW w:w="467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教师参加进修、培训费</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14.450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8" w:hRule="exact"/>
        </w:trPr>
        <w:tc>
          <w:tcPr>
            <w:tcW w:w="1384" w:type="dxa"/>
            <w:vMerge w:val="continue"/>
            <w:tcBorders>
              <w:left w:val="single" w:color="auto" w:sz="4" w:space="0"/>
              <w:right w:val="single" w:color="auto" w:sz="4" w:space="0"/>
            </w:tcBorders>
            <w:vAlign w:val="center"/>
          </w:tcPr>
          <w:p>
            <w:pPr>
              <w:jc w:val="center"/>
              <w:rPr>
                <w:b/>
                <w:color w:val="auto"/>
                <w:szCs w:val="21"/>
              </w:rPr>
            </w:pPr>
          </w:p>
        </w:tc>
        <w:tc>
          <w:tcPr>
            <w:tcW w:w="2126" w:type="dxa"/>
            <w:gridSpan w:val="2"/>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Cs w:val="21"/>
              </w:rPr>
            </w:pPr>
          </w:p>
        </w:tc>
        <w:tc>
          <w:tcPr>
            <w:tcW w:w="467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教师考察、调研等</w:t>
            </w:r>
            <w:r>
              <w:rPr>
                <w:rFonts w:asciiTheme="minorEastAsia" w:hAnsiTheme="minorEastAsia" w:eastAsiaTheme="minorEastAsia"/>
                <w:color w:val="auto"/>
                <w:szCs w:val="21"/>
              </w:rPr>
              <w:t>差旅费</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8" w:hRule="exact"/>
        </w:trPr>
        <w:tc>
          <w:tcPr>
            <w:tcW w:w="1384" w:type="dxa"/>
            <w:vMerge w:val="continue"/>
            <w:tcBorders>
              <w:left w:val="single" w:color="auto" w:sz="4" w:space="0"/>
              <w:right w:val="single" w:color="auto" w:sz="4" w:space="0"/>
            </w:tcBorders>
            <w:vAlign w:val="center"/>
          </w:tcPr>
          <w:p>
            <w:pPr>
              <w:jc w:val="center"/>
              <w:rPr>
                <w:b/>
                <w:color w:val="auto"/>
                <w:szCs w:val="21"/>
              </w:rPr>
            </w:pPr>
          </w:p>
        </w:tc>
        <w:tc>
          <w:tcPr>
            <w:tcW w:w="2126" w:type="dxa"/>
            <w:gridSpan w:val="2"/>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课程教材资源开发</w:t>
            </w:r>
          </w:p>
        </w:tc>
        <w:tc>
          <w:tcPr>
            <w:tcW w:w="467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网络共享课程开发与购买</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11.710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8" w:hRule="exact"/>
        </w:trPr>
        <w:tc>
          <w:tcPr>
            <w:tcW w:w="1384" w:type="dxa"/>
            <w:vMerge w:val="continue"/>
            <w:tcBorders>
              <w:left w:val="single" w:color="auto" w:sz="4" w:space="0"/>
              <w:right w:val="single" w:color="auto" w:sz="4" w:space="0"/>
            </w:tcBorders>
            <w:vAlign w:val="center"/>
          </w:tcPr>
          <w:p>
            <w:pPr>
              <w:jc w:val="center"/>
              <w:rPr>
                <w:b/>
                <w:color w:val="auto"/>
                <w:szCs w:val="21"/>
              </w:rPr>
            </w:pPr>
          </w:p>
        </w:tc>
        <w:tc>
          <w:tcPr>
            <w:tcW w:w="2126" w:type="dxa"/>
            <w:gridSpan w:val="2"/>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Cs w:val="21"/>
              </w:rPr>
            </w:pPr>
          </w:p>
        </w:tc>
        <w:tc>
          <w:tcPr>
            <w:tcW w:w="467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专家咨询费与劳务费</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7.990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8" w:hRule="exact"/>
        </w:trPr>
        <w:tc>
          <w:tcPr>
            <w:tcW w:w="1384" w:type="dxa"/>
            <w:vMerge w:val="continue"/>
            <w:tcBorders>
              <w:left w:val="single" w:color="auto" w:sz="4" w:space="0"/>
              <w:right w:val="single" w:color="auto" w:sz="4" w:space="0"/>
            </w:tcBorders>
            <w:vAlign w:val="center"/>
          </w:tcPr>
          <w:p>
            <w:pPr>
              <w:widowControl/>
              <w:jc w:val="center"/>
              <w:rPr>
                <w:b/>
                <w:color w:val="auto"/>
                <w:szCs w:val="21"/>
              </w:rPr>
            </w:pPr>
          </w:p>
        </w:tc>
        <w:tc>
          <w:tcPr>
            <w:tcW w:w="2126" w:type="dxa"/>
            <w:gridSpan w:val="2"/>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实验实训条件建设</w:t>
            </w:r>
          </w:p>
        </w:tc>
        <w:tc>
          <w:tcPr>
            <w:tcW w:w="4678" w:type="dxa"/>
            <w:gridSpan w:val="5"/>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Cs w:val="21"/>
              </w:rPr>
            </w:pPr>
            <w:r>
              <w:rPr>
                <w:rFonts w:asciiTheme="minorEastAsia" w:hAnsiTheme="minorEastAsia" w:eastAsiaTheme="minorEastAsia"/>
                <w:color w:val="auto"/>
                <w:szCs w:val="21"/>
              </w:rPr>
              <w:t>三江学院华为新一代移动互联实训基地一期设备</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93.1</w:t>
            </w:r>
            <w:r>
              <w:rPr>
                <w:rFonts w:hint="eastAsia" w:asciiTheme="minorEastAsia" w:hAnsiTheme="minorEastAsia" w:eastAsiaTheme="minorEastAsia"/>
                <w:color w:val="auto"/>
                <w:szCs w:val="21"/>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8" w:hRule="exact"/>
        </w:trPr>
        <w:tc>
          <w:tcPr>
            <w:tcW w:w="1384" w:type="dxa"/>
            <w:vMerge w:val="continue"/>
            <w:tcBorders>
              <w:left w:val="single" w:color="auto" w:sz="4" w:space="0"/>
              <w:right w:val="single" w:color="auto" w:sz="4" w:space="0"/>
            </w:tcBorders>
            <w:vAlign w:val="center"/>
          </w:tcPr>
          <w:p>
            <w:pPr>
              <w:widowControl/>
              <w:jc w:val="left"/>
              <w:rPr>
                <w:b/>
                <w:color w:val="auto"/>
                <w:szCs w:val="21"/>
              </w:rPr>
            </w:pPr>
          </w:p>
        </w:tc>
        <w:tc>
          <w:tcPr>
            <w:tcW w:w="2126" w:type="dxa"/>
            <w:gridSpan w:val="2"/>
            <w:vMerge w:val="continue"/>
            <w:tcBorders>
              <w:left w:val="single" w:color="auto" w:sz="4" w:space="0"/>
              <w:right w:val="single" w:color="auto" w:sz="4" w:space="0"/>
            </w:tcBorders>
            <w:vAlign w:val="center"/>
          </w:tcPr>
          <w:p>
            <w:pPr>
              <w:jc w:val="center"/>
              <w:rPr>
                <w:rFonts w:asciiTheme="minorEastAsia" w:hAnsiTheme="minorEastAsia" w:eastAsiaTheme="minorEastAsia"/>
                <w:color w:val="auto"/>
                <w:szCs w:val="21"/>
              </w:rPr>
            </w:pPr>
          </w:p>
        </w:tc>
        <w:tc>
          <w:tcPr>
            <w:tcW w:w="4678" w:type="dxa"/>
            <w:gridSpan w:val="5"/>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Cs w:val="21"/>
              </w:rPr>
            </w:pPr>
            <w:r>
              <w:rPr>
                <w:rFonts w:asciiTheme="minorEastAsia" w:hAnsiTheme="minorEastAsia" w:eastAsiaTheme="minorEastAsia"/>
                <w:color w:val="auto"/>
                <w:szCs w:val="21"/>
              </w:rPr>
              <w:t>三江学院-中电光伏工程实践教育中心设备</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37</w:t>
            </w:r>
            <w:r>
              <w:rPr>
                <w:rFonts w:hint="eastAsia" w:asciiTheme="minorEastAsia" w:hAnsiTheme="minorEastAsia" w:eastAsiaTheme="minorEastAsia"/>
                <w:color w:val="auto"/>
                <w:szCs w:val="21"/>
                <w:lang w:val="en-US" w:eastAsia="zh-CN"/>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8" w:hRule="exact"/>
        </w:trPr>
        <w:tc>
          <w:tcPr>
            <w:tcW w:w="1384" w:type="dxa"/>
            <w:vMerge w:val="continue"/>
            <w:tcBorders>
              <w:left w:val="single" w:color="auto" w:sz="4" w:space="0"/>
              <w:right w:val="single" w:color="auto" w:sz="4" w:space="0"/>
            </w:tcBorders>
            <w:vAlign w:val="center"/>
          </w:tcPr>
          <w:p>
            <w:pPr>
              <w:widowControl/>
              <w:jc w:val="left"/>
              <w:rPr>
                <w:b/>
                <w:color w:val="auto"/>
                <w:szCs w:val="21"/>
              </w:rPr>
            </w:pPr>
          </w:p>
        </w:tc>
        <w:tc>
          <w:tcPr>
            <w:tcW w:w="2126" w:type="dxa"/>
            <w:gridSpan w:val="2"/>
            <w:vMerge w:val="continue"/>
            <w:tcBorders>
              <w:left w:val="single" w:color="auto" w:sz="4" w:space="0"/>
              <w:right w:val="single" w:color="auto" w:sz="4" w:space="0"/>
            </w:tcBorders>
            <w:vAlign w:val="center"/>
          </w:tcPr>
          <w:p>
            <w:pPr>
              <w:jc w:val="center"/>
              <w:rPr>
                <w:rFonts w:asciiTheme="minorEastAsia" w:hAnsiTheme="minorEastAsia" w:eastAsiaTheme="minorEastAsia"/>
                <w:color w:val="auto"/>
                <w:szCs w:val="21"/>
              </w:rPr>
            </w:pPr>
          </w:p>
        </w:tc>
        <w:tc>
          <w:tcPr>
            <w:tcW w:w="467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三江学院XILINX</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FPGA</w:t>
            </w:r>
            <w:r>
              <w:rPr>
                <w:rFonts w:hint="eastAsia" w:asciiTheme="minorEastAsia" w:hAnsiTheme="minorEastAsia" w:eastAsiaTheme="minorEastAsia"/>
                <w:color w:val="auto"/>
                <w:szCs w:val="21"/>
              </w:rPr>
              <w:t>应用创新实验室设备</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16</w:t>
            </w:r>
            <w:r>
              <w:rPr>
                <w:rFonts w:hint="eastAsia" w:asciiTheme="minorEastAsia" w:hAnsiTheme="minorEastAsia" w:eastAsiaTheme="minorEastAsia"/>
                <w:color w:val="auto"/>
                <w:szCs w:val="21"/>
                <w:lang w:val="en-US" w:eastAsia="zh-CN"/>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8" w:hRule="exact"/>
        </w:trPr>
        <w:tc>
          <w:tcPr>
            <w:tcW w:w="1384" w:type="dxa"/>
            <w:vMerge w:val="continue"/>
            <w:tcBorders>
              <w:left w:val="single" w:color="auto" w:sz="4" w:space="0"/>
              <w:right w:val="single" w:color="auto" w:sz="4" w:space="0"/>
            </w:tcBorders>
            <w:vAlign w:val="center"/>
          </w:tcPr>
          <w:p>
            <w:pPr>
              <w:widowControl/>
              <w:jc w:val="left"/>
              <w:rPr>
                <w:b/>
                <w:color w:val="auto"/>
                <w:szCs w:val="21"/>
              </w:rPr>
            </w:pPr>
          </w:p>
        </w:tc>
        <w:tc>
          <w:tcPr>
            <w:tcW w:w="2126" w:type="dxa"/>
            <w:gridSpan w:val="2"/>
            <w:vMerge w:val="continue"/>
            <w:tcBorders>
              <w:left w:val="single" w:color="auto" w:sz="4" w:space="0"/>
              <w:right w:val="single" w:color="auto" w:sz="4" w:space="0"/>
            </w:tcBorders>
            <w:vAlign w:val="center"/>
          </w:tcPr>
          <w:p>
            <w:pPr>
              <w:jc w:val="center"/>
              <w:rPr>
                <w:rFonts w:asciiTheme="minorEastAsia" w:hAnsiTheme="minorEastAsia" w:eastAsiaTheme="minorEastAsia"/>
                <w:color w:val="auto"/>
                <w:szCs w:val="21"/>
              </w:rPr>
            </w:pPr>
          </w:p>
        </w:tc>
        <w:tc>
          <w:tcPr>
            <w:tcW w:w="467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三江学院-智慧硬件与数字广播实训基地</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39.870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8" w:hRule="exact"/>
        </w:trPr>
        <w:tc>
          <w:tcPr>
            <w:tcW w:w="1384" w:type="dxa"/>
            <w:vMerge w:val="continue"/>
            <w:tcBorders>
              <w:left w:val="single" w:color="auto" w:sz="4" w:space="0"/>
              <w:right w:val="single" w:color="auto" w:sz="4" w:space="0"/>
            </w:tcBorders>
            <w:vAlign w:val="center"/>
          </w:tcPr>
          <w:p>
            <w:pPr>
              <w:widowControl/>
              <w:jc w:val="left"/>
              <w:rPr>
                <w:b/>
                <w:color w:val="auto"/>
                <w:szCs w:val="21"/>
              </w:rPr>
            </w:pPr>
          </w:p>
        </w:tc>
        <w:tc>
          <w:tcPr>
            <w:tcW w:w="2126" w:type="dxa"/>
            <w:gridSpan w:val="2"/>
            <w:vMerge w:val="continue"/>
            <w:tcBorders>
              <w:left w:val="single" w:color="auto" w:sz="4" w:space="0"/>
              <w:right w:val="single" w:color="auto" w:sz="4" w:space="0"/>
            </w:tcBorders>
            <w:vAlign w:val="center"/>
          </w:tcPr>
          <w:p>
            <w:pPr>
              <w:jc w:val="center"/>
              <w:rPr>
                <w:rFonts w:asciiTheme="minorEastAsia" w:hAnsiTheme="minorEastAsia" w:eastAsiaTheme="minorEastAsia"/>
                <w:color w:val="auto"/>
                <w:szCs w:val="21"/>
              </w:rPr>
            </w:pPr>
          </w:p>
        </w:tc>
        <w:tc>
          <w:tcPr>
            <w:tcW w:w="467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三江学院</w:t>
            </w:r>
            <w:r>
              <w:rPr>
                <w:rFonts w:hint="eastAsia" w:asciiTheme="minorEastAsia" w:hAnsiTheme="minorEastAsia" w:eastAsiaTheme="minorEastAsia"/>
                <w:color w:val="auto"/>
                <w:szCs w:val="21"/>
              </w:rPr>
              <w:t>.苏嵌教育嵌入式系统技术实训基地</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24</w:t>
            </w:r>
            <w:r>
              <w:rPr>
                <w:rFonts w:hint="eastAsia" w:asciiTheme="minorEastAsia" w:hAnsiTheme="minorEastAsia" w:eastAsiaTheme="minorEastAsia"/>
                <w:color w:val="auto"/>
                <w:szCs w:val="21"/>
                <w:lang w:val="en-US" w:eastAsia="zh-CN"/>
              </w:rPr>
              <w:t>.751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8" w:hRule="exact"/>
        </w:trPr>
        <w:tc>
          <w:tcPr>
            <w:tcW w:w="1384" w:type="dxa"/>
            <w:vMerge w:val="continue"/>
            <w:tcBorders>
              <w:left w:val="single" w:color="auto" w:sz="4" w:space="0"/>
              <w:right w:val="single" w:color="auto" w:sz="4" w:space="0"/>
            </w:tcBorders>
            <w:vAlign w:val="center"/>
          </w:tcPr>
          <w:p>
            <w:pPr>
              <w:widowControl/>
              <w:jc w:val="left"/>
              <w:rPr>
                <w:b/>
                <w:color w:val="auto"/>
                <w:szCs w:val="21"/>
              </w:rPr>
            </w:pPr>
          </w:p>
        </w:tc>
        <w:tc>
          <w:tcPr>
            <w:tcW w:w="2126" w:type="dxa"/>
            <w:gridSpan w:val="2"/>
            <w:vMerge w:val="continue"/>
            <w:tcBorders>
              <w:left w:val="single" w:color="auto" w:sz="4" w:space="0"/>
              <w:right w:val="single" w:color="auto" w:sz="4" w:space="0"/>
            </w:tcBorders>
            <w:vAlign w:val="center"/>
          </w:tcPr>
          <w:p>
            <w:pPr>
              <w:jc w:val="center"/>
              <w:rPr>
                <w:rFonts w:asciiTheme="minorEastAsia" w:hAnsiTheme="minorEastAsia" w:eastAsiaTheme="minorEastAsia"/>
                <w:color w:val="auto"/>
                <w:szCs w:val="21"/>
              </w:rPr>
            </w:pPr>
          </w:p>
        </w:tc>
        <w:tc>
          <w:tcPr>
            <w:tcW w:w="467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Cs w:val="21"/>
                <w:highlight w:val="yellow"/>
              </w:rPr>
            </w:pPr>
            <w:r>
              <w:rPr>
                <w:rFonts w:asciiTheme="minorEastAsia" w:hAnsiTheme="minorEastAsia" w:eastAsiaTheme="minorEastAsia"/>
                <w:color w:val="auto"/>
                <w:szCs w:val="21"/>
              </w:rPr>
              <w:t>三江学院华为新一代移动互联实训基地</w:t>
            </w:r>
            <w:r>
              <w:rPr>
                <w:rFonts w:hint="eastAsia" w:asciiTheme="minorEastAsia" w:hAnsiTheme="minorEastAsia" w:eastAsiaTheme="minorEastAsia"/>
                <w:color w:val="auto"/>
                <w:szCs w:val="21"/>
                <w:lang w:val="en-US" w:eastAsia="zh-CN"/>
              </w:rPr>
              <w:t>二</w:t>
            </w:r>
            <w:r>
              <w:rPr>
                <w:rFonts w:asciiTheme="minorEastAsia" w:hAnsiTheme="minorEastAsia" w:eastAsiaTheme="minorEastAsia"/>
                <w:color w:val="auto"/>
                <w:szCs w:val="21"/>
              </w:rPr>
              <w:t>期设备</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olor w:val="auto"/>
                <w:szCs w:val="21"/>
                <w:highlight w:val="yellow"/>
                <w:lang w:val="en-US" w:eastAsia="zh-CN"/>
              </w:rPr>
            </w:pPr>
            <w:r>
              <w:rPr>
                <w:rFonts w:hint="eastAsia" w:asciiTheme="minorEastAsia" w:hAnsiTheme="minorEastAsia" w:eastAsiaTheme="minorEastAsia"/>
                <w:color w:val="auto"/>
                <w:szCs w:val="21"/>
                <w:highlight w:val="none"/>
                <w:lang w:val="en-US" w:eastAsia="zh-CN"/>
              </w:rPr>
              <w:t>80.750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8" w:hRule="exact"/>
        </w:trPr>
        <w:tc>
          <w:tcPr>
            <w:tcW w:w="1384" w:type="dxa"/>
            <w:vMerge w:val="continue"/>
            <w:tcBorders>
              <w:left w:val="single" w:color="auto" w:sz="4" w:space="0"/>
              <w:right w:val="single" w:color="auto" w:sz="4" w:space="0"/>
            </w:tcBorders>
            <w:vAlign w:val="center"/>
          </w:tcPr>
          <w:p>
            <w:pPr>
              <w:widowControl/>
              <w:jc w:val="left"/>
              <w:rPr>
                <w:b/>
                <w:color w:val="auto"/>
                <w:szCs w:val="21"/>
              </w:rPr>
            </w:pPr>
          </w:p>
        </w:tc>
        <w:tc>
          <w:tcPr>
            <w:tcW w:w="2126" w:type="dxa"/>
            <w:gridSpan w:val="2"/>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Cs w:val="21"/>
              </w:rPr>
            </w:pPr>
          </w:p>
        </w:tc>
        <w:tc>
          <w:tcPr>
            <w:tcW w:w="4678"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电子学院集成电路分析中心实验室购设备</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8" w:hRule="exact"/>
        </w:trPr>
        <w:tc>
          <w:tcPr>
            <w:tcW w:w="1384" w:type="dxa"/>
            <w:vMerge w:val="continue"/>
            <w:tcBorders>
              <w:left w:val="single" w:color="auto" w:sz="4" w:space="0"/>
              <w:right w:val="single" w:color="auto" w:sz="4" w:space="0"/>
            </w:tcBorders>
            <w:vAlign w:val="center"/>
          </w:tcPr>
          <w:p>
            <w:pPr>
              <w:widowControl/>
              <w:jc w:val="left"/>
              <w:rPr>
                <w:b/>
                <w:color w:val="auto"/>
                <w:szCs w:val="21"/>
              </w:rPr>
            </w:pPr>
          </w:p>
        </w:tc>
        <w:tc>
          <w:tcPr>
            <w:tcW w:w="2126" w:type="dxa"/>
            <w:gridSpan w:val="2"/>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学生创业创新训练</w:t>
            </w:r>
          </w:p>
        </w:tc>
        <w:tc>
          <w:tcPr>
            <w:tcW w:w="467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学生创新创业、实验等</w:t>
            </w:r>
            <w:r>
              <w:rPr>
                <w:rFonts w:asciiTheme="minorEastAsia" w:hAnsiTheme="minorEastAsia" w:eastAsiaTheme="minorEastAsia"/>
                <w:color w:val="auto"/>
                <w:szCs w:val="21"/>
              </w:rPr>
              <w:t>材料费</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32.139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8" w:hRule="exact"/>
        </w:trPr>
        <w:tc>
          <w:tcPr>
            <w:tcW w:w="1384" w:type="dxa"/>
            <w:vMerge w:val="continue"/>
            <w:tcBorders>
              <w:left w:val="single" w:color="auto" w:sz="4" w:space="0"/>
              <w:right w:val="single" w:color="auto" w:sz="4" w:space="0"/>
            </w:tcBorders>
            <w:vAlign w:val="center"/>
          </w:tcPr>
          <w:p>
            <w:pPr>
              <w:widowControl/>
              <w:jc w:val="left"/>
              <w:rPr>
                <w:b/>
                <w:color w:val="auto"/>
                <w:szCs w:val="21"/>
              </w:rPr>
            </w:pPr>
          </w:p>
        </w:tc>
        <w:tc>
          <w:tcPr>
            <w:tcW w:w="2126" w:type="dxa"/>
            <w:gridSpan w:val="2"/>
            <w:vMerge w:val="continue"/>
            <w:tcBorders>
              <w:left w:val="single" w:color="auto" w:sz="4" w:space="0"/>
              <w:right w:val="single" w:color="auto" w:sz="4" w:space="0"/>
            </w:tcBorders>
            <w:vAlign w:val="center"/>
          </w:tcPr>
          <w:p>
            <w:pPr>
              <w:jc w:val="center"/>
              <w:rPr>
                <w:rFonts w:asciiTheme="minorEastAsia" w:hAnsiTheme="minorEastAsia" w:eastAsiaTheme="minorEastAsia"/>
                <w:color w:val="auto"/>
                <w:szCs w:val="21"/>
              </w:rPr>
            </w:pPr>
          </w:p>
        </w:tc>
        <w:tc>
          <w:tcPr>
            <w:tcW w:w="467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举办国家级大学生智能车竞赛赛道材料费用</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6.2</w:t>
            </w:r>
            <w:r>
              <w:rPr>
                <w:rFonts w:hint="eastAsia" w:asciiTheme="minorEastAsia" w:hAnsiTheme="minorEastAsia" w:eastAsiaTheme="minorEastAsia"/>
                <w:color w:val="auto"/>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exact"/>
        </w:trPr>
        <w:tc>
          <w:tcPr>
            <w:tcW w:w="1384" w:type="dxa"/>
            <w:vMerge w:val="continue"/>
            <w:tcBorders>
              <w:left w:val="single" w:color="auto" w:sz="4" w:space="0"/>
              <w:right w:val="single" w:color="auto" w:sz="4" w:space="0"/>
            </w:tcBorders>
            <w:vAlign w:val="center"/>
          </w:tcPr>
          <w:p>
            <w:pPr>
              <w:widowControl/>
              <w:jc w:val="left"/>
              <w:rPr>
                <w:b/>
                <w:color w:val="auto"/>
                <w:szCs w:val="21"/>
              </w:rPr>
            </w:pPr>
          </w:p>
        </w:tc>
        <w:tc>
          <w:tcPr>
            <w:tcW w:w="2126" w:type="dxa"/>
            <w:gridSpan w:val="2"/>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Cs w:val="21"/>
              </w:rPr>
            </w:pPr>
          </w:p>
        </w:tc>
        <w:tc>
          <w:tcPr>
            <w:tcW w:w="467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举办国家级大学生智能车竞赛大屏幕赛台租用费</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5.4</w:t>
            </w:r>
            <w:r>
              <w:rPr>
                <w:rFonts w:hint="eastAsia" w:asciiTheme="minorEastAsia" w:hAnsiTheme="minorEastAsia" w:eastAsiaTheme="minorEastAsia"/>
                <w:color w:val="auto"/>
                <w:szCs w:val="21"/>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exact"/>
        </w:trPr>
        <w:tc>
          <w:tcPr>
            <w:tcW w:w="1384" w:type="dxa"/>
            <w:vMerge w:val="continue"/>
            <w:tcBorders>
              <w:left w:val="single" w:color="auto" w:sz="4" w:space="0"/>
              <w:right w:val="single" w:color="auto" w:sz="4" w:space="0"/>
            </w:tcBorders>
            <w:vAlign w:val="center"/>
          </w:tcPr>
          <w:p>
            <w:pPr>
              <w:widowControl/>
              <w:jc w:val="left"/>
              <w:rPr>
                <w:b/>
                <w:color w:val="auto"/>
                <w:szCs w:val="21"/>
              </w:rPr>
            </w:pPr>
          </w:p>
        </w:tc>
        <w:tc>
          <w:tcPr>
            <w:tcW w:w="2126" w:type="dxa"/>
            <w:gridSpan w:val="2"/>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国内外教学交流合作</w:t>
            </w:r>
          </w:p>
        </w:tc>
        <w:tc>
          <w:tcPr>
            <w:tcW w:w="467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教师赴国外标杆大学的出国访问交流费用</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36.890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4" w:hRule="exact"/>
        </w:trPr>
        <w:tc>
          <w:tcPr>
            <w:tcW w:w="1384" w:type="dxa"/>
            <w:vMerge w:val="continue"/>
            <w:tcBorders>
              <w:left w:val="single" w:color="auto" w:sz="4" w:space="0"/>
              <w:right w:val="single" w:color="auto" w:sz="4" w:space="0"/>
            </w:tcBorders>
            <w:vAlign w:val="center"/>
          </w:tcPr>
          <w:p>
            <w:pPr>
              <w:widowControl/>
              <w:jc w:val="left"/>
              <w:rPr>
                <w:b/>
                <w:color w:val="auto"/>
                <w:szCs w:val="21"/>
              </w:rPr>
            </w:pPr>
          </w:p>
        </w:tc>
        <w:tc>
          <w:tcPr>
            <w:tcW w:w="2126" w:type="dxa"/>
            <w:gridSpan w:val="2"/>
            <w:vMerge w:val="continue"/>
            <w:tcBorders>
              <w:left w:val="single" w:color="auto" w:sz="4" w:space="0"/>
              <w:bottom w:val="single" w:color="auto" w:sz="4" w:space="0"/>
              <w:right w:val="single" w:color="auto" w:sz="4" w:space="0"/>
            </w:tcBorders>
            <w:vAlign w:val="center"/>
          </w:tcPr>
          <w:p>
            <w:pPr>
              <w:ind w:firstLine="210" w:firstLineChars="100"/>
              <w:jc w:val="center"/>
              <w:rPr>
                <w:rFonts w:asciiTheme="minorEastAsia" w:hAnsiTheme="minorEastAsia" w:eastAsiaTheme="minorEastAsia"/>
                <w:color w:val="auto"/>
                <w:szCs w:val="21"/>
              </w:rPr>
            </w:pPr>
          </w:p>
        </w:tc>
        <w:tc>
          <w:tcPr>
            <w:tcW w:w="467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与国外标杆大学的交流、与</w:t>
            </w:r>
            <w:r>
              <w:rPr>
                <w:rFonts w:asciiTheme="minorEastAsia" w:hAnsiTheme="minorEastAsia" w:eastAsiaTheme="minorEastAsia"/>
                <w:color w:val="auto"/>
                <w:szCs w:val="21"/>
              </w:rPr>
              <w:t>英国工程技术学会IET交流合作、国际工程师资质认证</w:t>
            </w:r>
            <w:r>
              <w:rPr>
                <w:rFonts w:hint="eastAsia" w:asciiTheme="minorEastAsia" w:hAnsiTheme="minorEastAsia" w:eastAsiaTheme="minorEastAsia"/>
                <w:color w:val="auto"/>
                <w:szCs w:val="21"/>
              </w:rPr>
              <w:t>费用</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exact"/>
        </w:trPr>
        <w:tc>
          <w:tcPr>
            <w:tcW w:w="1384" w:type="dxa"/>
            <w:vMerge w:val="continue"/>
            <w:tcBorders>
              <w:left w:val="single" w:color="auto" w:sz="4" w:space="0"/>
              <w:right w:val="single" w:color="auto" w:sz="4" w:space="0"/>
            </w:tcBorders>
            <w:vAlign w:val="center"/>
          </w:tcPr>
          <w:p>
            <w:pPr>
              <w:widowControl/>
              <w:jc w:val="left"/>
              <w:rPr>
                <w:b/>
                <w:color w:val="auto"/>
                <w:szCs w:val="21"/>
              </w:rPr>
            </w:pPr>
          </w:p>
        </w:tc>
        <w:tc>
          <w:tcPr>
            <w:tcW w:w="2126" w:type="dxa"/>
            <w:gridSpan w:val="2"/>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教育教学研究与改革</w:t>
            </w:r>
          </w:p>
        </w:tc>
        <w:tc>
          <w:tcPr>
            <w:tcW w:w="467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教师调研</w:t>
            </w:r>
            <w:r>
              <w:rPr>
                <w:rFonts w:asciiTheme="minorEastAsia" w:hAnsiTheme="minorEastAsia" w:eastAsiaTheme="minorEastAsia"/>
                <w:color w:val="auto"/>
                <w:szCs w:val="21"/>
              </w:rPr>
              <w:t>差旅费</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9.172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 w:hRule="exact"/>
        </w:trPr>
        <w:tc>
          <w:tcPr>
            <w:tcW w:w="1384" w:type="dxa"/>
            <w:vMerge w:val="continue"/>
            <w:tcBorders>
              <w:left w:val="single" w:color="auto" w:sz="4" w:space="0"/>
              <w:right w:val="single" w:color="auto" w:sz="4" w:space="0"/>
            </w:tcBorders>
            <w:vAlign w:val="center"/>
          </w:tcPr>
          <w:p>
            <w:pPr>
              <w:widowControl/>
              <w:jc w:val="left"/>
              <w:rPr>
                <w:b/>
                <w:color w:val="auto"/>
                <w:szCs w:val="21"/>
              </w:rPr>
            </w:pPr>
          </w:p>
        </w:tc>
        <w:tc>
          <w:tcPr>
            <w:tcW w:w="2126" w:type="dxa"/>
            <w:gridSpan w:val="2"/>
            <w:vMerge w:val="continue"/>
            <w:tcBorders>
              <w:left w:val="single" w:color="auto" w:sz="4" w:space="0"/>
              <w:right w:val="single" w:color="auto" w:sz="4" w:space="0"/>
            </w:tcBorders>
            <w:vAlign w:val="center"/>
          </w:tcPr>
          <w:p>
            <w:pPr>
              <w:jc w:val="center"/>
              <w:rPr>
                <w:rFonts w:asciiTheme="minorEastAsia" w:hAnsiTheme="minorEastAsia" w:eastAsiaTheme="minorEastAsia"/>
                <w:color w:val="auto"/>
                <w:szCs w:val="21"/>
              </w:rPr>
            </w:pPr>
          </w:p>
        </w:tc>
        <w:tc>
          <w:tcPr>
            <w:tcW w:w="467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文献出版、专利申请等费用</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5.665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exact"/>
        </w:trPr>
        <w:tc>
          <w:tcPr>
            <w:tcW w:w="1384" w:type="dxa"/>
            <w:vMerge w:val="continue"/>
            <w:tcBorders>
              <w:left w:val="single" w:color="auto" w:sz="4" w:space="0"/>
              <w:right w:val="single" w:color="auto" w:sz="4" w:space="0"/>
            </w:tcBorders>
            <w:vAlign w:val="center"/>
          </w:tcPr>
          <w:p>
            <w:pPr>
              <w:widowControl/>
              <w:jc w:val="left"/>
              <w:rPr>
                <w:b/>
                <w:color w:val="auto"/>
                <w:szCs w:val="21"/>
              </w:rPr>
            </w:pPr>
          </w:p>
        </w:tc>
        <w:tc>
          <w:tcPr>
            <w:tcW w:w="2126" w:type="dxa"/>
            <w:gridSpan w:val="2"/>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Cs w:val="21"/>
              </w:rPr>
            </w:pPr>
          </w:p>
        </w:tc>
        <w:tc>
          <w:tcPr>
            <w:tcW w:w="467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校外专家咨询及劳务费</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3.348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exact"/>
        </w:trPr>
        <w:tc>
          <w:tcPr>
            <w:tcW w:w="1384" w:type="dxa"/>
            <w:vMerge w:val="continue"/>
            <w:tcBorders>
              <w:left w:val="single" w:color="auto" w:sz="4" w:space="0"/>
              <w:bottom w:val="single" w:color="auto" w:sz="4" w:space="0"/>
              <w:right w:val="single" w:color="auto" w:sz="4" w:space="0"/>
            </w:tcBorders>
            <w:vAlign w:val="center"/>
          </w:tcPr>
          <w:p>
            <w:pPr>
              <w:widowControl/>
              <w:jc w:val="left"/>
              <w:rPr>
                <w:b/>
                <w:color w:val="auto"/>
                <w:szCs w:val="21"/>
              </w:rPr>
            </w:pPr>
          </w:p>
        </w:tc>
        <w:tc>
          <w:tcPr>
            <w:tcW w:w="6804" w:type="dxa"/>
            <w:gridSpan w:val="7"/>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合计</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457.663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exact"/>
        </w:trPr>
        <w:tc>
          <w:tcPr>
            <w:tcW w:w="1384"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p>
        </w:tc>
        <w:tc>
          <w:tcPr>
            <w:tcW w:w="1493"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r>
              <w:rPr>
                <w:b/>
                <w:color w:val="auto"/>
                <w:szCs w:val="21"/>
              </w:rPr>
              <w:t>2015年</w:t>
            </w:r>
          </w:p>
        </w:tc>
        <w:tc>
          <w:tcPr>
            <w:tcW w:w="1600" w:type="dxa"/>
            <w:gridSpan w:val="3"/>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r>
              <w:rPr>
                <w:b/>
                <w:color w:val="auto"/>
                <w:szCs w:val="21"/>
              </w:rPr>
              <w:t>2016年</w:t>
            </w:r>
          </w:p>
        </w:tc>
        <w:tc>
          <w:tcPr>
            <w:tcW w:w="1486"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r>
              <w:rPr>
                <w:b/>
                <w:color w:val="auto"/>
                <w:szCs w:val="21"/>
              </w:rPr>
              <w:t>2017年</w:t>
            </w:r>
          </w:p>
        </w:tc>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
                <w:color w:val="auto"/>
                <w:szCs w:val="21"/>
                <w:lang w:val="en-US" w:eastAsia="zh-CN"/>
              </w:rPr>
            </w:pPr>
            <w:r>
              <w:rPr>
                <w:rFonts w:hint="eastAsia"/>
                <w:b/>
                <w:color w:val="auto"/>
                <w:szCs w:val="21"/>
                <w:lang w:val="en-US" w:eastAsia="zh-CN"/>
              </w:rPr>
              <w:t>2018年</w:t>
            </w:r>
          </w:p>
        </w:tc>
        <w:tc>
          <w:tcPr>
            <w:tcW w:w="1680" w:type="dxa"/>
            <w:gridSpan w:val="2"/>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r>
              <w:rPr>
                <w:b/>
                <w:color w:val="auto"/>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3" w:hRule="exact"/>
        </w:trPr>
        <w:tc>
          <w:tcPr>
            <w:tcW w:w="1384"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r>
              <w:rPr>
                <w:b/>
                <w:color w:val="auto"/>
                <w:szCs w:val="21"/>
              </w:rPr>
              <w:t>支出合计（万元）</w:t>
            </w:r>
          </w:p>
        </w:tc>
        <w:tc>
          <w:tcPr>
            <w:tcW w:w="149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auto"/>
                <w:szCs w:val="21"/>
              </w:rPr>
            </w:pPr>
            <w:r>
              <w:rPr>
                <w:rFonts w:asciiTheme="minorEastAsia" w:hAnsiTheme="minorEastAsia" w:eastAsiaTheme="minorEastAsia"/>
                <w:b/>
                <w:color w:val="auto"/>
                <w:szCs w:val="21"/>
              </w:rPr>
              <w:t>175</w:t>
            </w:r>
          </w:p>
        </w:tc>
        <w:tc>
          <w:tcPr>
            <w:tcW w:w="160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b/>
                <w:color w:val="auto"/>
                <w:szCs w:val="21"/>
                <w:lang w:val="en-US" w:eastAsia="zh-CN"/>
              </w:rPr>
            </w:pPr>
            <w:r>
              <w:rPr>
                <w:rFonts w:hint="eastAsia" w:asciiTheme="minorEastAsia" w:hAnsiTheme="minorEastAsia" w:eastAsiaTheme="minorEastAsia"/>
                <w:b/>
                <w:color w:val="auto"/>
                <w:szCs w:val="21"/>
                <w:lang w:val="en-US" w:eastAsia="zh-CN"/>
              </w:rPr>
              <w:t>165</w:t>
            </w:r>
          </w:p>
        </w:tc>
        <w:tc>
          <w:tcPr>
            <w:tcW w:w="14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b/>
                <w:color w:val="auto"/>
                <w:szCs w:val="21"/>
                <w:lang w:val="en-US" w:eastAsia="zh-CN"/>
              </w:rPr>
            </w:pPr>
            <w:r>
              <w:rPr>
                <w:rFonts w:hint="eastAsia" w:asciiTheme="minorEastAsia" w:hAnsiTheme="minorEastAsia" w:eastAsiaTheme="minorEastAsia"/>
                <w:b/>
                <w:color w:val="auto"/>
                <w:szCs w:val="21"/>
                <w:lang w:val="en-US" w:eastAsia="zh-CN"/>
              </w:rPr>
              <w:t>117.663</w:t>
            </w:r>
          </w:p>
        </w:tc>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
                <w:color w:val="auto"/>
                <w:szCs w:val="21"/>
                <w:lang w:val="en-US" w:eastAsia="zh-CN"/>
              </w:rPr>
            </w:pPr>
            <w:r>
              <w:rPr>
                <w:rFonts w:hint="eastAsia" w:asciiTheme="minorEastAsia" w:hAnsiTheme="minorEastAsia" w:eastAsiaTheme="minorEastAsia"/>
                <w:b/>
                <w:color w:val="auto"/>
                <w:szCs w:val="21"/>
                <w:lang w:val="en-US" w:eastAsia="zh-CN"/>
              </w:rPr>
              <w:t>0</w:t>
            </w:r>
          </w:p>
        </w:tc>
        <w:tc>
          <w:tcPr>
            <w:tcW w:w="168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b/>
                <w:color w:val="auto"/>
                <w:szCs w:val="21"/>
                <w:lang w:val="en-US" w:eastAsia="zh-CN"/>
              </w:rPr>
            </w:pPr>
            <w:r>
              <w:rPr>
                <w:rFonts w:hint="eastAsia" w:asciiTheme="minorEastAsia" w:hAnsiTheme="minorEastAsia" w:eastAsiaTheme="minorEastAsia"/>
                <w:b/>
                <w:color w:val="auto"/>
                <w:szCs w:val="21"/>
                <w:lang w:val="en-US" w:eastAsia="zh-CN"/>
              </w:rPr>
              <w:t>457.663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exact"/>
        </w:trPr>
        <w:tc>
          <w:tcPr>
            <w:tcW w:w="1384"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r>
              <w:rPr>
                <w:b/>
                <w:color w:val="auto"/>
                <w:szCs w:val="21"/>
              </w:rPr>
              <w:t>经费结余（万元）</w:t>
            </w:r>
          </w:p>
        </w:tc>
        <w:tc>
          <w:tcPr>
            <w:tcW w:w="149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auto"/>
                <w:szCs w:val="21"/>
              </w:rPr>
            </w:pPr>
            <w:r>
              <w:rPr>
                <w:rFonts w:asciiTheme="minorEastAsia" w:hAnsiTheme="minorEastAsia" w:eastAsiaTheme="minorEastAsia"/>
                <w:b/>
                <w:color w:val="auto"/>
                <w:szCs w:val="21"/>
              </w:rPr>
              <w:t>0</w:t>
            </w:r>
          </w:p>
        </w:tc>
        <w:tc>
          <w:tcPr>
            <w:tcW w:w="160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
                <w:color w:val="auto"/>
                <w:szCs w:val="21"/>
                <w:lang w:eastAsia="zh-CN"/>
              </w:rPr>
            </w:pPr>
            <w:r>
              <w:rPr>
                <w:rFonts w:hint="eastAsia" w:asciiTheme="minorEastAsia" w:hAnsiTheme="minorEastAsia" w:eastAsiaTheme="minorEastAsia"/>
                <w:b/>
                <w:color w:val="auto"/>
                <w:szCs w:val="21"/>
                <w:lang w:val="en-US" w:eastAsia="zh-CN"/>
              </w:rPr>
              <w:t>0</w:t>
            </w:r>
          </w:p>
        </w:tc>
        <w:tc>
          <w:tcPr>
            <w:tcW w:w="14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b/>
                <w:color w:val="auto"/>
                <w:szCs w:val="21"/>
                <w:lang w:val="en-US" w:eastAsia="zh-CN"/>
              </w:rPr>
            </w:pPr>
            <w:r>
              <w:rPr>
                <w:rFonts w:hint="eastAsia" w:asciiTheme="minorEastAsia" w:hAnsiTheme="minorEastAsia" w:eastAsiaTheme="minorEastAsia"/>
                <w:b/>
                <w:color w:val="auto"/>
                <w:szCs w:val="21"/>
                <w:lang w:val="en-US" w:eastAsia="zh-CN"/>
              </w:rPr>
              <w:t>47.337</w:t>
            </w:r>
          </w:p>
        </w:tc>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b/>
                <w:color w:val="auto"/>
                <w:szCs w:val="21"/>
                <w:lang w:val="en-US" w:eastAsia="zh-CN"/>
              </w:rPr>
            </w:pPr>
            <w:r>
              <w:rPr>
                <w:rFonts w:hint="eastAsia" w:asciiTheme="minorEastAsia" w:hAnsiTheme="minorEastAsia" w:eastAsiaTheme="minorEastAsia"/>
                <w:b/>
                <w:color w:val="auto"/>
                <w:szCs w:val="21"/>
                <w:lang w:val="en-US" w:eastAsia="zh-CN"/>
              </w:rPr>
              <w:t>165</w:t>
            </w:r>
          </w:p>
        </w:tc>
        <w:tc>
          <w:tcPr>
            <w:tcW w:w="168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b/>
                <w:color w:val="auto"/>
                <w:szCs w:val="21"/>
                <w:lang w:val="en-US" w:eastAsia="zh-CN"/>
              </w:rPr>
            </w:pPr>
            <w:r>
              <w:rPr>
                <w:rFonts w:hint="eastAsia" w:asciiTheme="minorEastAsia" w:hAnsiTheme="minorEastAsia" w:eastAsiaTheme="minorEastAsia"/>
                <w:b/>
                <w:color w:val="auto"/>
                <w:szCs w:val="21"/>
                <w:lang w:val="en-US" w:eastAsia="zh-CN"/>
              </w:rPr>
              <w:t>212.337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exact"/>
        </w:trPr>
        <w:tc>
          <w:tcPr>
            <w:tcW w:w="1384"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r>
              <w:rPr>
                <w:b/>
                <w:color w:val="auto"/>
                <w:szCs w:val="21"/>
              </w:rPr>
              <w:t>资金使用率（%）</w:t>
            </w:r>
          </w:p>
        </w:tc>
        <w:tc>
          <w:tcPr>
            <w:tcW w:w="149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auto"/>
                <w:szCs w:val="21"/>
              </w:rPr>
            </w:pPr>
            <w:r>
              <w:rPr>
                <w:rFonts w:asciiTheme="minorEastAsia" w:hAnsiTheme="minorEastAsia" w:eastAsiaTheme="minorEastAsia"/>
                <w:b/>
                <w:color w:val="auto"/>
                <w:szCs w:val="21"/>
              </w:rPr>
              <w:t>100</w:t>
            </w:r>
            <w:r>
              <w:rPr>
                <w:rFonts w:hint="eastAsia" w:asciiTheme="minorEastAsia" w:hAnsiTheme="minorEastAsia" w:eastAsiaTheme="minorEastAsia"/>
                <w:b/>
                <w:color w:val="auto"/>
                <w:szCs w:val="21"/>
              </w:rPr>
              <w:t>%</w:t>
            </w:r>
          </w:p>
        </w:tc>
        <w:tc>
          <w:tcPr>
            <w:tcW w:w="16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lang w:val="en-US" w:eastAsia="zh-CN"/>
              </w:rPr>
              <w:t>100</w:t>
            </w:r>
            <w:r>
              <w:rPr>
                <w:rFonts w:hint="eastAsia" w:asciiTheme="minorEastAsia" w:hAnsiTheme="minorEastAsia" w:eastAsiaTheme="minorEastAsia"/>
                <w:b/>
                <w:color w:val="auto"/>
                <w:szCs w:val="21"/>
              </w:rPr>
              <w:t>%</w:t>
            </w:r>
          </w:p>
        </w:tc>
        <w:tc>
          <w:tcPr>
            <w:tcW w:w="14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b/>
                <w:color w:val="auto"/>
                <w:szCs w:val="21"/>
                <w:lang w:val="en-US" w:eastAsia="zh-CN"/>
              </w:rPr>
            </w:pPr>
            <w:r>
              <w:rPr>
                <w:rFonts w:hint="eastAsia" w:asciiTheme="minorEastAsia" w:hAnsiTheme="minorEastAsia" w:eastAsiaTheme="minorEastAsia"/>
                <w:b/>
                <w:color w:val="auto"/>
                <w:szCs w:val="21"/>
                <w:lang w:val="en-US" w:eastAsia="zh-CN"/>
              </w:rPr>
              <w:t>71.31%</w:t>
            </w:r>
          </w:p>
        </w:tc>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
                <w:color w:val="auto"/>
                <w:szCs w:val="21"/>
                <w:lang w:val="en-US" w:eastAsia="zh-CN"/>
              </w:rPr>
            </w:pPr>
            <w:r>
              <w:rPr>
                <w:rFonts w:hint="eastAsia" w:asciiTheme="minorEastAsia" w:hAnsiTheme="minorEastAsia" w:eastAsiaTheme="minorEastAsia"/>
                <w:b/>
                <w:color w:val="auto"/>
                <w:szCs w:val="21"/>
                <w:lang w:val="en-US" w:eastAsia="zh-CN"/>
              </w:rPr>
              <w:t>0</w:t>
            </w:r>
          </w:p>
        </w:tc>
        <w:tc>
          <w:tcPr>
            <w:tcW w:w="168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b/>
                <w:color w:val="auto"/>
                <w:szCs w:val="21"/>
                <w:lang w:val="en-US" w:eastAsia="zh-CN"/>
              </w:rPr>
            </w:pPr>
            <w:r>
              <w:rPr>
                <w:rFonts w:hint="eastAsia" w:asciiTheme="minorEastAsia" w:hAnsiTheme="minorEastAsia" w:eastAsiaTheme="minorEastAsia"/>
                <w:b/>
                <w:color w:val="auto"/>
                <w:szCs w:val="21"/>
                <w:lang w:val="en-US" w:eastAsia="zh-CN"/>
              </w:rPr>
              <w:t>68.31%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6" w:hRule="atLeast"/>
        </w:trPr>
        <w:tc>
          <w:tcPr>
            <w:tcW w:w="4283" w:type="dxa"/>
            <w:gridSpan w:val="4"/>
            <w:tcBorders>
              <w:top w:val="single" w:color="auto" w:sz="4" w:space="0"/>
              <w:left w:val="single" w:color="auto" w:sz="4" w:space="0"/>
              <w:bottom w:val="single" w:color="auto" w:sz="4" w:space="0"/>
              <w:right w:val="single" w:color="auto" w:sz="4" w:space="0"/>
            </w:tcBorders>
          </w:tcPr>
          <w:p>
            <w:pPr>
              <w:jc w:val="left"/>
              <w:rPr>
                <w:b/>
                <w:color w:val="auto"/>
                <w:szCs w:val="21"/>
              </w:rPr>
            </w:pPr>
            <w:r>
              <w:rPr>
                <w:b/>
                <w:color w:val="auto"/>
                <w:szCs w:val="21"/>
              </w:rPr>
              <w:t>财务部门负责人（签字）</w:t>
            </w:r>
          </w:p>
        </w:tc>
        <w:tc>
          <w:tcPr>
            <w:tcW w:w="5039" w:type="dxa"/>
            <w:gridSpan w:val="5"/>
            <w:tcBorders>
              <w:top w:val="single" w:color="auto" w:sz="4" w:space="0"/>
              <w:left w:val="single" w:color="auto" w:sz="4" w:space="0"/>
              <w:bottom w:val="single" w:color="auto" w:sz="4" w:space="0"/>
              <w:right w:val="single" w:color="auto" w:sz="4" w:space="0"/>
            </w:tcBorders>
          </w:tcPr>
          <w:p>
            <w:pPr>
              <w:jc w:val="left"/>
              <w:rPr>
                <w:b/>
                <w:color w:val="auto"/>
                <w:szCs w:val="21"/>
              </w:rPr>
            </w:pPr>
            <w:r>
              <w:rPr>
                <w:b/>
                <w:color w:val="auto"/>
                <w:szCs w:val="21"/>
              </w:rPr>
              <w:t>学校财务管理部门（公章）</w:t>
            </w:r>
          </w:p>
        </w:tc>
      </w:tr>
    </w:tbl>
    <w:p>
      <w:pPr>
        <w:widowControl w:val="0"/>
        <w:numPr>
          <w:ilvl w:val="0"/>
          <w:numId w:val="0"/>
        </w:numPr>
        <w:jc w:val="both"/>
        <w:rPr>
          <w:rFonts w:hint="default" w:ascii="Arial" w:hAnsi="Arial" w:eastAsia="黑体" w:cs="Arial"/>
          <w:color w:val="auto"/>
          <w:sz w:val="32"/>
          <w:szCs w:val="32"/>
        </w:rPr>
      </w:pPr>
    </w:p>
    <w:p>
      <w:pPr>
        <w:widowControl w:val="0"/>
        <w:numPr>
          <w:ilvl w:val="0"/>
          <w:numId w:val="0"/>
        </w:numPr>
        <w:jc w:val="both"/>
        <w:rPr>
          <w:rFonts w:hint="default" w:ascii="Arial" w:hAnsi="Arial" w:eastAsia="黑体" w:cs="Arial"/>
          <w:color w:val="auto"/>
          <w:sz w:val="32"/>
          <w:szCs w:val="32"/>
        </w:rPr>
      </w:pPr>
    </w:p>
    <w:p>
      <w:pPr>
        <w:widowControl w:val="0"/>
        <w:numPr>
          <w:ilvl w:val="0"/>
          <w:numId w:val="0"/>
        </w:numPr>
        <w:jc w:val="both"/>
        <w:rPr>
          <w:rFonts w:hint="default" w:ascii="Arial" w:hAnsi="Arial" w:eastAsia="黑体" w:cs="Arial"/>
          <w:color w:val="auto"/>
          <w:sz w:val="32"/>
          <w:szCs w:val="32"/>
        </w:rPr>
      </w:pPr>
    </w:p>
    <w:p>
      <w:pPr>
        <w:widowControl w:val="0"/>
        <w:numPr>
          <w:ilvl w:val="0"/>
          <w:numId w:val="0"/>
        </w:numPr>
        <w:jc w:val="both"/>
        <w:rPr>
          <w:rFonts w:hint="default" w:ascii="Arial" w:hAnsi="Arial" w:eastAsia="黑体" w:cs="Arial"/>
          <w:color w:val="auto"/>
          <w:sz w:val="32"/>
          <w:szCs w:val="32"/>
        </w:rPr>
      </w:pPr>
    </w:p>
    <w:p>
      <w:pPr>
        <w:rPr>
          <w:rFonts w:hint="default" w:ascii="Arial" w:hAnsi="Arial" w:eastAsia="黑体" w:cs="Arial"/>
          <w:color w:val="auto"/>
          <w:sz w:val="32"/>
          <w:szCs w:val="32"/>
        </w:rPr>
      </w:pPr>
      <w:r>
        <w:rPr>
          <w:rFonts w:hint="default" w:ascii="Arial" w:hAnsi="Arial" w:eastAsia="黑体" w:cs="Arial"/>
          <w:color w:val="auto"/>
          <w:sz w:val="32"/>
          <w:szCs w:val="32"/>
        </w:rPr>
        <w:t>六、其他资金投入及使用情况</w:t>
      </w:r>
    </w:p>
    <w:p>
      <w:pPr>
        <w:tabs>
          <w:tab w:val="left" w:pos="690"/>
        </w:tabs>
        <w:rPr>
          <w:rFonts w:hint="default" w:ascii="Arial" w:hAnsi="Arial" w:cs="Arial"/>
          <w:color w:val="auto"/>
          <w:szCs w:val="22"/>
        </w:rPr>
      </w:pPr>
    </w:p>
    <w:tbl>
      <w:tblPr>
        <w:tblStyle w:val="2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23"/>
        <w:gridCol w:w="43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54" w:hRule="atLeast"/>
        </w:trPr>
        <w:tc>
          <w:tcPr>
            <w:tcW w:w="8522" w:type="dxa"/>
            <w:gridSpan w:val="2"/>
            <w:tcBorders>
              <w:top w:val="single" w:color="000000" w:sz="4" w:space="0"/>
              <w:left w:val="single" w:color="000000" w:sz="4" w:space="0"/>
              <w:bottom w:val="single" w:color="000000" w:sz="4" w:space="0"/>
              <w:right w:val="single" w:color="000000" w:sz="4" w:space="0"/>
            </w:tcBorders>
          </w:tcPr>
          <w:p>
            <w:pPr>
              <w:rPr>
                <w:rFonts w:hint="default" w:ascii="Arial" w:hAnsi="Arial" w:cs="Arial"/>
                <w:color w:val="auto"/>
                <w:sz w:val="24"/>
              </w:rPr>
            </w:pPr>
            <w:r>
              <w:rPr>
                <w:rFonts w:hint="default" w:ascii="Arial" w:hAnsi="Arial" w:cs="Arial"/>
                <w:color w:val="auto"/>
                <w:sz w:val="24"/>
              </w:rPr>
              <w:t>经费来源及金额：</w:t>
            </w:r>
          </w:p>
          <w:tbl>
            <w:tblPr>
              <w:tblStyle w:val="23"/>
              <w:tblW w:w="829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66"/>
              <w:gridCol w:w="3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166" w:type="dxa"/>
                  <w:tcBorders>
                    <w:top w:val="single" w:color="000000" w:sz="4" w:space="0"/>
                    <w:left w:val="single" w:color="000000" w:sz="4" w:space="0"/>
                    <w:bottom w:val="single" w:color="000000" w:sz="4" w:space="0"/>
                    <w:right w:val="single" w:color="000000" w:sz="4" w:space="0"/>
                  </w:tcBorders>
                </w:tcPr>
                <w:p>
                  <w:pPr>
                    <w:jc w:val="center"/>
                    <w:rPr>
                      <w:rFonts w:hint="default" w:ascii="Arial" w:hAnsi="Arial" w:cs="Arial"/>
                      <w:color w:val="auto"/>
                      <w:sz w:val="24"/>
                    </w:rPr>
                  </w:pPr>
                  <w:r>
                    <w:rPr>
                      <w:rFonts w:hint="default" w:ascii="Arial" w:hAnsi="Arial" w:cs="Arial"/>
                      <w:color w:val="auto"/>
                      <w:sz w:val="24"/>
                    </w:rPr>
                    <w:t>来源</w:t>
                  </w:r>
                </w:p>
              </w:tc>
              <w:tc>
                <w:tcPr>
                  <w:tcW w:w="3130" w:type="dxa"/>
                  <w:tcBorders>
                    <w:top w:val="single" w:color="000000" w:sz="4" w:space="0"/>
                    <w:left w:val="single" w:color="000000" w:sz="4" w:space="0"/>
                    <w:bottom w:val="single" w:color="000000" w:sz="4" w:space="0"/>
                    <w:right w:val="single" w:color="000000" w:sz="4" w:space="0"/>
                  </w:tcBorders>
                </w:tcPr>
                <w:p>
                  <w:pPr>
                    <w:jc w:val="center"/>
                    <w:rPr>
                      <w:rFonts w:hint="default" w:ascii="Arial" w:hAnsi="Arial" w:cs="Arial"/>
                      <w:color w:val="auto"/>
                      <w:sz w:val="24"/>
                    </w:rPr>
                  </w:pPr>
                  <w:r>
                    <w:rPr>
                      <w:rFonts w:hint="default" w:ascii="Arial" w:hAnsi="Arial" w:cs="Arial"/>
                      <w:color w:val="auto"/>
                      <w:sz w:val="24"/>
                    </w:rPr>
                    <w:t>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166" w:type="dxa"/>
                  <w:tcBorders>
                    <w:top w:val="single" w:color="000000" w:sz="4" w:space="0"/>
                    <w:left w:val="single" w:color="000000" w:sz="4" w:space="0"/>
                    <w:bottom w:val="single" w:color="000000" w:sz="4" w:space="0"/>
                    <w:right w:val="single" w:color="000000" w:sz="4" w:space="0"/>
                  </w:tcBorders>
                </w:tcPr>
                <w:p>
                  <w:pPr>
                    <w:jc w:val="center"/>
                    <w:rPr>
                      <w:rFonts w:hint="default" w:ascii="Arial" w:hAnsi="Arial" w:cs="Arial"/>
                      <w:color w:val="auto"/>
                      <w:sz w:val="24"/>
                    </w:rPr>
                  </w:pPr>
                  <w:r>
                    <w:rPr>
                      <w:rFonts w:hint="default" w:ascii="Arial" w:hAnsi="Arial" w:cs="Arial"/>
                      <w:color w:val="auto"/>
                      <w:sz w:val="24"/>
                    </w:rPr>
                    <w:t>学校投入</w:t>
                  </w:r>
                </w:p>
              </w:tc>
              <w:tc>
                <w:tcPr>
                  <w:tcW w:w="3130" w:type="dxa"/>
                  <w:tcBorders>
                    <w:top w:val="single" w:color="000000" w:sz="4" w:space="0"/>
                    <w:left w:val="single" w:color="000000" w:sz="4" w:space="0"/>
                    <w:bottom w:val="single" w:color="000000" w:sz="4" w:space="0"/>
                    <w:right w:val="single" w:color="000000" w:sz="4" w:space="0"/>
                  </w:tcBorders>
                </w:tcPr>
                <w:p>
                  <w:pPr>
                    <w:jc w:val="center"/>
                    <w:rPr>
                      <w:rFonts w:hint="default" w:ascii="Arial" w:hAnsi="Arial" w:cs="Arial"/>
                      <w:color w:val="auto"/>
                      <w:sz w:val="24"/>
                    </w:rPr>
                  </w:pPr>
                  <w:r>
                    <w:rPr>
                      <w:rFonts w:hint="default" w:ascii="Arial" w:hAnsi="Arial" w:cs="Arial"/>
                      <w:color w:val="auto"/>
                      <w:sz w:val="24"/>
                    </w:rPr>
                    <w:t xml:space="preserve">458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166" w:type="dxa"/>
                  <w:tcBorders>
                    <w:top w:val="single" w:color="000000" w:sz="4" w:space="0"/>
                    <w:left w:val="single" w:color="000000" w:sz="4" w:space="0"/>
                    <w:bottom w:val="single" w:color="000000" w:sz="4" w:space="0"/>
                    <w:right w:val="single" w:color="000000" w:sz="4" w:space="0"/>
                  </w:tcBorders>
                </w:tcPr>
                <w:p>
                  <w:pPr>
                    <w:jc w:val="center"/>
                    <w:rPr>
                      <w:rFonts w:hint="default" w:ascii="Arial" w:hAnsi="Arial" w:cs="Arial"/>
                      <w:color w:val="auto"/>
                      <w:sz w:val="24"/>
                    </w:rPr>
                  </w:pPr>
                  <w:r>
                    <w:rPr>
                      <w:rFonts w:hint="default" w:ascii="Arial" w:hAnsi="Arial" w:cs="Arial"/>
                      <w:color w:val="auto"/>
                      <w:sz w:val="24"/>
                    </w:rPr>
                    <w:t>其他（请注明具体来源）</w:t>
                  </w:r>
                </w:p>
              </w:tc>
              <w:tc>
                <w:tcPr>
                  <w:tcW w:w="3130" w:type="dxa"/>
                  <w:tcBorders>
                    <w:top w:val="single" w:color="000000" w:sz="4" w:space="0"/>
                    <w:left w:val="single" w:color="000000" w:sz="4" w:space="0"/>
                    <w:bottom w:val="single" w:color="000000" w:sz="4" w:space="0"/>
                    <w:right w:val="single" w:color="000000" w:sz="4" w:space="0"/>
                  </w:tcBorders>
                </w:tcPr>
                <w:p>
                  <w:pPr>
                    <w:jc w:val="center"/>
                    <w:rPr>
                      <w:rFonts w:hint="default" w:ascii="Arial" w:hAnsi="Arial" w:cs="Arial"/>
                      <w:color w:val="auto"/>
                      <w:sz w:val="24"/>
                    </w:rPr>
                  </w:pPr>
                  <w:r>
                    <w:rPr>
                      <w:rFonts w:hint="default" w:ascii="Arial" w:hAnsi="Arial" w:cs="Arial"/>
                      <w:color w:val="auto"/>
                      <w:sz w:val="24"/>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166" w:type="dxa"/>
                  <w:tcBorders>
                    <w:top w:val="single" w:color="000000" w:sz="4" w:space="0"/>
                    <w:left w:val="single" w:color="000000" w:sz="4" w:space="0"/>
                    <w:bottom w:val="single" w:color="000000" w:sz="4" w:space="0"/>
                    <w:right w:val="single" w:color="000000" w:sz="4" w:space="0"/>
                  </w:tcBorders>
                </w:tcPr>
                <w:p>
                  <w:pPr>
                    <w:jc w:val="center"/>
                    <w:rPr>
                      <w:rFonts w:hint="default" w:ascii="Arial" w:hAnsi="Arial" w:cs="Arial"/>
                      <w:color w:val="auto"/>
                      <w:sz w:val="24"/>
                    </w:rPr>
                  </w:pPr>
                  <w:r>
                    <w:rPr>
                      <w:rFonts w:hint="default" w:ascii="Arial" w:hAnsi="Arial" w:cs="Arial"/>
                      <w:color w:val="auto"/>
                      <w:sz w:val="24"/>
                    </w:rPr>
                    <w:t>合计</w:t>
                  </w:r>
                </w:p>
              </w:tc>
              <w:tc>
                <w:tcPr>
                  <w:tcW w:w="3130" w:type="dxa"/>
                  <w:tcBorders>
                    <w:top w:val="single" w:color="000000" w:sz="4" w:space="0"/>
                    <w:left w:val="single" w:color="000000" w:sz="4" w:space="0"/>
                    <w:bottom w:val="single" w:color="000000" w:sz="4" w:space="0"/>
                    <w:right w:val="single" w:color="000000" w:sz="4" w:space="0"/>
                  </w:tcBorders>
                </w:tcPr>
                <w:p>
                  <w:pPr>
                    <w:jc w:val="center"/>
                    <w:rPr>
                      <w:rFonts w:hint="default" w:ascii="Arial" w:hAnsi="Arial" w:cs="Arial"/>
                      <w:color w:val="auto"/>
                      <w:sz w:val="24"/>
                    </w:rPr>
                  </w:pPr>
                  <w:r>
                    <w:rPr>
                      <w:rFonts w:hint="default" w:ascii="Arial" w:hAnsi="Arial" w:cs="Arial"/>
                      <w:color w:val="auto"/>
                      <w:sz w:val="24"/>
                    </w:rPr>
                    <w:t>495</w:t>
                  </w:r>
                </w:p>
              </w:tc>
            </w:tr>
          </w:tbl>
          <w:p>
            <w:pPr>
              <w:rPr>
                <w:rFonts w:hint="default" w:ascii="Arial" w:hAnsi="Arial" w:cs="Arial"/>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10" w:hRule="atLeast"/>
        </w:trPr>
        <w:tc>
          <w:tcPr>
            <w:tcW w:w="8522" w:type="dxa"/>
            <w:gridSpan w:val="2"/>
            <w:tcBorders>
              <w:top w:val="single" w:color="000000" w:sz="4" w:space="0"/>
              <w:left w:val="single" w:color="000000" w:sz="4" w:space="0"/>
              <w:bottom w:val="single" w:color="auto" w:sz="4" w:space="0"/>
              <w:right w:val="single" w:color="000000" w:sz="4" w:space="0"/>
            </w:tcBorders>
          </w:tcPr>
          <w:p>
            <w:pPr>
              <w:rPr>
                <w:rFonts w:hint="default" w:ascii="Arial" w:hAnsi="Arial" w:cs="Arial"/>
                <w:color w:val="auto"/>
                <w:sz w:val="24"/>
              </w:rPr>
            </w:pPr>
            <w:r>
              <w:rPr>
                <w:rFonts w:hint="default" w:ascii="Arial" w:hAnsi="Arial" w:cs="Arial"/>
                <w:color w:val="auto"/>
                <w:sz w:val="24"/>
              </w:rPr>
              <w:t>经费使用情况：</w:t>
            </w:r>
          </w:p>
          <w:p>
            <w:pPr>
              <w:spacing w:line="276" w:lineRule="auto"/>
              <w:ind w:firstLine="480" w:firstLineChars="200"/>
              <w:rPr>
                <w:rFonts w:hint="eastAsia"/>
                <w:color w:val="auto"/>
                <w:sz w:val="24"/>
              </w:rPr>
            </w:pPr>
            <w:r>
              <w:rPr>
                <w:rFonts w:hint="eastAsia"/>
                <w:color w:val="auto"/>
                <w:sz w:val="24"/>
              </w:rPr>
              <w:t>为了支持电子信息工程省级品牌专业的建设，学校给予了各个方面的支持和支撑，</w:t>
            </w:r>
            <w:r>
              <w:rPr>
                <w:rFonts w:hint="eastAsia"/>
                <w:color w:val="auto"/>
                <w:sz w:val="24"/>
                <w:lang w:val="en-US" w:eastAsia="zh-CN"/>
              </w:rPr>
              <w:t>四</w:t>
            </w:r>
            <w:r>
              <w:rPr>
                <w:rFonts w:hint="eastAsia"/>
                <w:color w:val="auto"/>
                <w:sz w:val="24"/>
              </w:rPr>
              <w:t>年来，学校提供本院的实验室建设设备经费、国家级大学生竞赛主办经费、教师培养、大学生创新创业、教改教研等经费共计</w:t>
            </w:r>
            <w:r>
              <w:rPr>
                <w:rFonts w:hint="eastAsia"/>
                <w:color w:val="auto"/>
                <w:sz w:val="24"/>
                <w:lang w:val="en-US" w:eastAsia="zh-CN"/>
              </w:rPr>
              <w:t>569</w:t>
            </w:r>
            <w:r>
              <w:rPr>
                <w:rFonts w:hint="eastAsia"/>
                <w:color w:val="auto"/>
                <w:sz w:val="24"/>
                <w:highlight w:val="none"/>
              </w:rPr>
              <w:t>万</w:t>
            </w:r>
            <w:r>
              <w:rPr>
                <w:rFonts w:hint="eastAsia"/>
                <w:color w:val="auto"/>
                <w:sz w:val="24"/>
              </w:rPr>
              <w:t>元；学院还从国家级大学生实践基地项目、省出国访问学者</w:t>
            </w:r>
            <w:r>
              <w:rPr>
                <w:rFonts w:hint="eastAsia"/>
                <w:color w:val="auto"/>
                <w:sz w:val="24"/>
                <w:lang w:val="en-US" w:eastAsia="zh-CN"/>
              </w:rPr>
              <w:t>等</w:t>
            </w:r>
            <w:r>
              <w:rPr>
                <w:rFonts w:hint="eastAsia"/>
                <w:color w:val="auto"/>
                <w:sz w:val="24"/>
              </w:rPr>
              <w:t>项目共获得支持经费</w:t>
            </w:r>
            <w:r>
              <w:rPr>
                <w:rFonts w:hint="eastAsia"/>
                <w:color w:val="auto"/>
                <w:sz w:val="24"/>
                <w:lang w:val="en-US" w:eastAsia="zh-CN"/>
              </w:rPr>
              <w:t>10</w:t>
            </w:r>
            <w:r>
              <w:rPr>
                <w:rFonts w:hint="eastAsia"/>
                <w:color w:val="auto"/>
                <w:sz w:val="24"/>
              </w:rPr>
              <w:t>9万元；总计学校与其他经费支持有</w:t>
            </w:r>
            <w:r>
              <w:rPr>
                <w:rFonts w:hint="eastAsia"/>
                <w:color w:val="auto"/>
                <w:sz w:val="24"/>
                <w:lang w:val="en-US" w:eastAsia="zh-CN"/>
              </w:rPr>
              <w:t>67</w:t>
            </w:r>
            <w:r>
              <w:rPr>
                <w:rFonts w:hint="eastAsia"/>
                <w:color w:val="auto"/>
                <w:sz w:val="24"/>
              </w:rPr>
              <w:t>9万元，其中已用于品牌专业建设支出</w:t>
            </w:r>
            <w:r>
              <w:rPr>
                <w:rFonts w:hint="eastAsia"/>
                <w:color w:val="auto"/>
                <w:sz w:val="24"/>
                <w:lang w:val="en-US" w:eastAsia="zh-CN"/>
              </w:rPr>
              <w:t>427.3</w:t>
            </w:r>
            <w:r>
              <w:rPr>
                <w:rFonts w:hint="eastAsia"/>
                <w:color w:val="auto"/>
                <w:sz w:val="24"/>
              </w:rPr>
              <w:t>万元(学校投入</w:t>
            </w:r>
            <w:r>
              <w:rPr>
                <w:rFonts w:hint="eastAsia"/>
                <w:color w:val="auto"/>
                <w:sz w:val="24"/>
                <w:lang w:val="en-US" w:eastAsia="zh-CN"/>
              </w:rPr>
              <w:t>390.3</w:t>
            </w:r>
            <w:r>
              <w:rPr>
                <w:rFonts w:hint="eastAsia"/>
                <w:color w:val="auto"/>
                <w:sz w:val="24"/>
              </w:rPr>
              <w:t>万元，其他经费投入</w:t>
            </w:r>
            <w:r>
              <w:rPr>
                <w:rFonts w:hint="eastAsia"/>
                <w:color w:val="auto"/>
                <w:sz w:val="24"/>
                <w:lang w:val="en-US" w:eastAsia="zh-CN"/>
              </w:rPr>
              <w:t>37</w:t>
            </w:r>
            <w:r>
              <w:rPr>
                <w:rFonts w:hint="eastAsia"/>
                <w:color w:val="auto"/>
                <w:sz w:val="24"/>
              </w:rPr>
              <w:t>万元)。</w:t>
            </w:r>
          </w:p>
          <w:p>
            <w:pPr>
              <w:spacing w:line="276" w:lineRule="auto"/>
              <w:ind w:firstLine="480" w:firstLineChars="200"/>
              <w:rPr>
                <w:rFonts w:hint="default" w:eastAsia="宋体"/>
                <w:color w:val="auto"/>
                <w:sz w:val="24"/>
                <w:lang w:val="en-US" w:eastAsia="zh-CN"/>
              </w:rPr>
            </w:pPr>
            <w:r>
              <w:rPr>
                <w:rFonts w:hint="eastAsia"/>
                <w:color w:val="auto"/>
                <w:sz w:val="24"/>
                <w:lang w:val="en-US" w:eastAsia="zh-CN"/>
              </w:rPr>
              <w:t>品牌专业建设期间，根据规划和建设规律，主要投入在实验实训环境建设、教师发展与教学团队建设、课程与教材建设、内涵建设等方面，经费使用情况具体如下：</w:t>
            </w:r>
          </w:p>
          <w:p>
            <w:pPr>
              <w:spacing w:line="276" w:lineRule="auto"/>
              <w:ind w:firstLine="480" w:firstLineChars="200"/>
              <w:rPr>
                <w:color w:val="auto"/>
                <w:sz w:val="24"/>
              </w:rPr>
            </w:pPr>
            <w:r>
              <w:rPr>
                <w:rFonts w:hint="eastAsia"/>
                <w:color w:val="auto"/>
                <w:sz w:val="24"/>
                <w:lang w:val="en-US" w:eastAsia="zh-CN"/>
              </w:rPr>
              <w:t>1、</w:t>
            </w:r>
            <w:r>
              <w:rPr>
                <w:rFonts w:hint="eastAsia"/>
                <w:color w:val="auto"/>
                <w:sz w:val="24"/>
              </w:rPr>
              <w:t>教师发展和教学团队建设、课程教材资源开发、学生创业创新活动与竞赛的开展、国内外教学交流合作、教育教学研究与改革活动，</w:t>
            </w:r>
            <w:r>
              <w:rPr>
                <w:rFonts w:hint="eastAsia"/>
                <w:color w:val="auto"/>
                <w:sz w:val="24"/>
                <w:lang w:val="en-US" w:eastAsia="zh-CN"/>
              </w:rPr>
              <w:t>四</w:t>
            </w:r>
            <w:r>
              <w:rPr>
                <w:rFonts w:hint="eastAsia"/>
                <w:color w:val="auto"/>
                <w:sz w:val="24"/>
              </w:rPr>
              <w:t>年来共支出经费</w:t>
            </w:r>
            <w:bookmarkStart w:id="1" w:name="_GoBack"/>
            <w:bookmarkEnd w:id="1"/>
            <w:r>
              <w:rPr>
                <w:rFonts w:hint="eastAsia"/>
                <w:color w:val="auto"/>
                <w:sz w:val="24"/>
              </w:rPr>
              <w:t>万元，其中学校和其他经费投入</w:t>
            </w:r>
            <w:r>
              <w:rPr>
                <w:rFonts w:hint="eastAsia"/>
                <w:color w:val="auto"/>
                <w:sz w:val="24"/>
                <w:highlight w:val="none"/>
              </w:rPr>
              <w:t>万</w:t>
            </w:r>
            <w:r>
              <w:rPr>
                <w:rFonts w:hint="eastAsia"/>
                <w:color w:val="auto"/>
                <w:sz w:val="24"/>
              </w:rPr>
              <w:t>元，品牌专业经费投入</w:t>
            </w:r>
            <w:r>
              <w:rPr>
                <w:rFonts w:hint="eastAsia"/>
                <w:color w:val="auto"/>
                <w:sz w:val="24"/>
                <w:lang w:val="en-US" w:eastAsia="zh-CN"/>
              </w:rPr>
              <w:t>140</w:t>
            </w:r>
            <w:r>
              <w:rPr>
                <w:rFonts w:hint="eastAsia"/>
                <w:color w:val="auto"/>
                <w:sz w:val="24"/>
              </w:rPr>
              <w:t>万元。</w:t>
            </w:r>
          </w:p>
          <w:p>
            <w:pPr>
              <w:spacing w:line="276" w:lineRule="auto"/>
              <w:ind w:firstLine="480" w:firstLineChars="200"/>
              <w:rPr>
                <w:rFonts w:hint="eastAsia"/>
                <w:color w:val="auto"/>
                <w:sz w:val="24"/>
              </w:rPr>
            </w:pPr>
            <w:r>
              <w:rPr>
                <w:rFonts w:hint="eastAsia"/>
                <w:color w:val="auto"/>
                <w:sz w:val="24"/>
                <w:lang w:val="en-US" w:eastAsia="zh-CN"/>
              </w:rPr>
              <w:t>2、</w:t>
            </w:r>
            <w:r>
              <w:rPr>
                <w:rFonts w:hint="eastAsia"/>
                <w:color w:val="auto"/>
                <w:sz w:val="24"/>
              </w:rPr>
              <w:t>实验实训条件建设与拓展，</w:t>
            </w:r>
            <w:r>
              <w:rPr>
                <w:rFonts w:hint="eastAsia"/>
                <w:color w:val="auto"/>
                <w:sz w:val="24"/>
                <w:lang w:val="en-US" w:eastAsia="zh-CN"/>
              </w:rPr>
              <w:t>四</w:t>
            </w:r>
            <w:r>
              <w:rPr>
                <w:rFonts w:hint="eastAsia"/>
                <w:color w:val="auto"/>
                <w:sz w:val="24"/>
              </w:rPr>
              <w:t>年来，本着环境平台建设优先，但总费用控制在总经费50%以内的原则，品牌专业先后建设了三江学院华为新一代移动互联技术实训基地（一期</w:t>
            </w:r>
            <w:r>
              <w:rPr>
                <w:rFonts w:hint="eastAsia"/>
                <w:color w:val="auto"/>
                <w:sz w:val="24"/>
                <w:lang w:val="en-US" w:eastAsia="zh-CN"/>
              </w:rPr>
              <w:t>/二期，并发展成华为ICT产业学院</w:t>
            </w:r>
            <w:r>
              <w:rPr>
                <w:rFonts w:hint="eastAsia"/>
                <w:color w:val="auto"/>
                <w:sz w:val="24"/>
              </w:rPr>
              <w:t>）、三江学院中电光伏实践教育中心</w:t>
            </w:r>
            <w:r>
              <w:rPr>
                <w:rFonts w:hint="eastAsia"/>
                <w:color w:val="auto"/>
                <w:sz w:val="24"/>
                <w:lang w:eastAsia="zh-CN"/>
              </w:rPr>
              <w:t>（</w:t>
            </w:r>
            <w:r>
              <w:rPr>
                <w:rFonts w:hint="eastAsia"/>
                <w:color w:val="auto"/>
                <w:sz w:val="24"/>
                <w:lang w:val="en-US" w:eastAsia="zh-CN"/>
              </w:rPr>
              <w:t>发展成新能源产业学院</w:t>
            </w:r>
            <w:r>
              <w:rPr>
                <w:rFonts w:hint="eastAsia"/>
                <w:color w:val="auto"/>
                <w:sz w:val="24"/>
                <w:lang w:eastAsia="zh-CN"/>
              </w:rPr>
              <w:t>）</w:t>
            </w:r>
            <w:r>
              <w:rPr>
                <w:rFonts w:hint="eastAsia"/>
                <w:color w:val="auto"/>
                <w:sz w:val="24"/>
              </w:rPr>
              <w:t>、三江学院苏嵌教育嵌入式实践基地、三江学院智慧硬件与数字广播实训基地、三江学院XILINX.FPGA应用创新实验室、三江学院.杨杰微电子工程人才培养联合实训基地</w:t>
            </w:r>
            <w:r>
              <w:rPr>
                <w:rFonts w:hint="eastAsia"/>
                <w:color w:val="auto"/>
                <w:sz w:val="24"/>
                <w:lang w:eastAsia="zh-CN"/>
              </w:rPr>
              <w:t>、</w:t>
            </w:r>
            <w:r>
              <w:rPr>
                <w:rFonts w:hint="eastAsia"/>
                <w:color w:val="auto"/>
                <w:sz w:val="24"/>
                <w:lang w:val="en-US" w:eastAsia="zh-CN"/>
              </w:rPr>
              <w:t>数字化实验实践课程</w:t>
            </w:r>
            <w:r>
              <w:rPr>
                <w:rFonts w:hint="default"/>
                <w:color w:val="auto"/>
                <w:sz w:val="24"/>
                <w:lang w:eastAsia="zh-CN"/>
              </w:rPr>
              <w:t>库</w:t>
            </w:r>
            <w:r>
              <w:rPr>
                <w:rFonts w:hint="eastAsia"/>
                <w:color w:val="auto"/>
                <w:sz w:val="24"/>
                <w:lang w:val="en-US" w:eastAsia="zh-CN"/>
              </w:rPr>
              <w:t>与云服务平台</w:t>
            </w:r>
            <w:r>
              <w:rPr>
                <w:rFonts w:hint="eastAsia"/>
                <w:color w:val="auto"/>
                <w:sz w:val="24"/>
              </w:rPr>
              <w:t>等；并拓展建设了三江学院.南京创客空间大学生创新创业基地、多个大学生创新开放实验室、创客工作室等。总计投入经费412万元，其中学校和其他项目的投入经费为202万元，省级品牌专业投入经费210万元。</w:t>
            </w:r>
          </w:p>
          <w:p>
            <w:pPr>
              <w:spacing w:line="276" w:lineRule="auto"/>
              <w:ind w:firstLine="480" w:firstLineChars="200"/>
              <w:rPr>
                <w:rFonts w:hint="default"/>
                <w:color w:val="auto"/>
                <w:sz w:val="24"/>
              </w:rPr>
            </w:pPr>
            <w:r>
              <w:rPr>
                <w:rFonts w:hint="eastAsia"/>
                <w:color w:val="auto"/>
                <w:sz w:val="24"/>
                <w:lang w:val="en-US" w:eastAsia="zh-CN"/>
              </w:rPr>
              <w:t>3、</w:t>
            </w:r>
            <w:r>
              <w:rPr>
                <w:rFonts w:hint="eastAsia"/>
                <w:color w:val="auto"/>
                <w:sz w:val="24"/>
              </w:rPr>
              <w:t xml:space="preserve"> 品牌专业</w:t>
            </w:r>
            <w:r>
              <w:rPr>
                <w:rFonts w:hint="default"/>
                <w:color w:val="auto"/>
                <w:sz w:val="24"/>
              </w:rPr>
              <w:t>建设期间</w:t>
            </w:r>
            <w:r>
              <w:rPr>
                <w:rFonts w:hint="eastAsia"/>
                <w:color w:val="auto"/>
                <w:sz w:val="24"/>
                <w:lang w:val="en-US" w:eastAsia="zh-CN"/>
              </w:rPr>
              <w:t>，</w:t>
            </w:r>
            <w:r>
              <w:rPr>
                <w:rFonts w:hint="default"/>
                <w:color w:val="auto"/>
                <w:sz w:val="24"/>
                <w:lang w:eastAsia="zh-CN"/>
              </w:rPr>
              <w:t>品牌专业获得</w:t>
            </w:r>
            <w:r>
              <w:rPr>
                <w:rFonts w:hint="eastAsia"/>
                <w:color w:val="auto"/>
                <w:sz w:val="24"/>
                <w:lang w:val="en-US" w:eastAsia="zh-CN"/>
              </w:rPr>
              <w:t>省财政支持</w:t>
            </w:r>
            <w:r>
              <w:rPr>
                <w:rFonts w:hint="default"/>
                <w:color w:val="auto"/>
                <w:sz w:val="24"/>
                <w:lang w:eastAsia="zh-CN"/>
              </w:rPr>
              <w:t>经费</w:t>
            </w:r>
            <w:r>
              <w:rPr>
                <w:rFonts w:hint="eastAsia"/>
                <w:color w:val="auto"/>
                <w:sz w:val="24"/>
                <w:lang w:val="en-US" w:eastAsia="zh-CN"/>
              </w:rPr>
              <w:t>670万，学校等</w:t>
            </w:r>
            <w:r>
              <w:rPr>
                <w:rFonts w:hint="default"/>
                <w:color w:val="auto"/>
                <w:sz w:val="24"/>
                <w:lang w:eastAsia="zh-CN"/>
              </w:rPr>
              <w:t>配套经费</w:t>
            </w:r>
            <w:r>
              <w:rPr>
                <w:rFonts w:hint="eastAsia"/>
                <w:color w:val="auto"/>
                <w:sz w:val="24"/>
                <w:lang w:val="en-US" w:eastAsia="zh-CN"/>
              </w:rPr>
              <w:t>支持679</w:t>
            </w:r>
            <w:r>
              <w:rPr>
                <w:rFonts w:hint="eastAsia"/>
                <w:color w:val="auto"/>
                <w:sz w:val="24"/>
              </w:rPr>
              <w:t>万元，</w:t>
            </w:r>
            <w:r>
              <w:rPr>
                <w:rFonts w:hint="eastAsia"/>
                <w:color w:val="auto"/>
                <w:sz w:val="24"/>
                <w:lang w:val="en-US" w:eastAsia="zh-CN"/>
              </w:rPr>
              <w:t>共计</w:t>
            </w:r>
            <w:r>
              <w:rPr>
                <w:rFonts w:hint="default"/>
                <w:color w:val="auto"/>
                <w:sz w:val="24"/>
                <w:lang w:eastAsia="zh-CN"/>
              </w:rPr>
              <w:t>1</w:t>
            </w:r>
            <w:r>
              <w:rPr>
                <w:rFonts w:hint="eastAsia"/>
                <w:color w:val="auto"/>
                <w:sz w:val="24"/>
                <w:lang w:val="en-US" w:eastAsia="zh-CN"/>
              </w:rPr>
              <w:t>34</w:t>
            </w:r>
            <w:r>
              <w:rPr>
                <w:rFonts w:hint="default"/>
                <w:color w:val="auto"/>
                <w:sz w:val="24"/>
                <w:lang w:eastAsia="zh-CN"/>
              </w:rPr>
              <w:t>9</w:t>
            </w:r>
            <w:r>
              <w:rPr>
                <w:rFonts w:hint="eastAsia"/>
                <w:color w:val="auto"/>
                <w:sz w:val="24"/>
                <w:lang w:val="en-US" w:eastAsia="zh-CN"/>
              </w:rPr>
              <w:t>万元，</w:t>
            </w:r>
            <w:r>
              <w:rPr>
                <w:rFonts w:hint="default"/>
                <w:color w:val="auto"/>
                <w:sz w:val="24"/>
                <w:lang w:eastAsia="zh-CN"/>
              </w:rPr>
              <w:t>符合原计划数要求</w:t>
            </w:r>
            <w:r>
              <w:rPr>
                <w:rFonts w:hint="eastAsia"/>
                <w:color w:val="auto"/>
                <w:sz w:val="24"/>
                <w:lang w:eastAsia="zh-CN"/>
              </w:rPr>
              <w:t>；</w:t>
            </w:r>
            <w:r>
              <w:rPr>
                <w:rFonts w:hint="default"/>
                <w:color w:val="auto"/>
                <w:sz w:val="24"/>
                <w:lang w:eastAsia="zh-CN"/>
              </w:rPr>
              <w:t>且2018年12月31日止，品牌专业共投入885万元，其中省财政经费</w:t>
            </w:r>
            <w:r>
              <w:rPr>
                <w:rFonts w:hint="eastAsia"/>
                <w:color w:val="auto"/>
                <w:sz w:val="24"/>
                <w:lang w:val="en-US" w:eastAsia="zh-CN"/>
              </w:rPr>
              <w:t>457.663</w:t>
            </w:r>
            <w:r>
              <w:rPr>
                <w:rFonts w:hint="default"/>
                <w:color w:val="auto"/>
                <w:sz w:val="24"/>
                <w:lang w:eastAsia="zh-CN"/>
              </w:rPr>
              <w:t>万元，学校与其他配套经费</w:t>
            </w:r>
            <w:r>
              <w:rPr>
                <w:rFonts w:hint="eastAsia"/>
                <w:color w:val="auto"/>
                <w:sz w:val="24"/>
                <w:lang w:val="en-US" w:eastAsia="zh-CN"/>
              </w:rPr>
              <w:t>427.3</w:t>
            </w:r>
            <w:r>
              <w:rPr>
                <w:rFonts w:hint="default"/>
                <w:color w:val="auto"/>
                <w:sz w:val="24"/>
                <w:lang w:eastAsia="zh-CN"/>
              </w:rPr>
              <w:t>万元。</w:t>
            </w:r>
            <w:r>
              <w:rPr>
                <w:rFonts w:hint="eastAsia"/>
                <w:color w:val="auto"/>
                <w:sz w:val="24"/>
              </w:rPr>
              <w:t>省财政经费</w:t>
            </w:r>
            <w:r>
              <w:rPr>
                <w:rFonts w:hint="default"/>
                <w:color w:val="auto"/>
                <w:sz w:val="24"/>
              </w:rPr>
              <w:t>剩余</w:t>
            </w:r>
            <w:r>
              <w:rPr>
                <w:rFonts w:hint="eastAsia"/>
                <w:color w:val="auto"/>
                <w:sz w:val="24"/>
                <w:lang w:val="en-US" w:eastAsia="zh-CN"/>
              </w:rPr>
              <w:t>212.337</w:t>
            </w:r>
            <w:r>
              <w:rPr>
                <w:rFonts w:hint="eastAsia"/>
                <w:color w:val="auto"/>
                <w:sz w:val="24"/>
              </w:rPr>
              <w:t>万元，学校</w:t>
            </w:r>
            <w:r>
              <w:rPr>
                <w:rFonts w:hint="default"/>
                <w:color w:val="auto"/>
                <w:sz w:val="24"/>
              </w:rPr>
              <w:t>配套经费剩余</w:t>
            </w:r>
            <w:r>
              <w:rPr>
                <w:rFonts w:hint="eastAsia"/>
                <w:color w:val="auto"/>
                <w:sz w:val="24"/>
                <w:lang w:val="en-US" w:eastAsia="zh-CN"/>
              </w:rPr>
              <w:t>251.7万</w:t>
            </w:r>
            <w:r>
              <w:rPr>
                <w:rFonts w:hint="default"/>
                <w:color w:val="auto"/>
                <w:sz w:val="24"/>
              </w:rPr>
              <w:t>元，正在用于本品牌专业继续建设中</w:t>
            </w:r>
            <w:r>
              <w:rPr>
                <w:rFonts w:hint="eastAsia"/>
                <w:color w:val="auto"/>
                <w:sz w:val="24"/>
                <w:lang w:eastAsia="zh-CN"/>
              </w:rPr>
              <w:t>；</w:t>
            </w:r>
            <w:r>
              <w:rPr>
                <w:rFonts w:hint="default"/>
                <w:color w:val="auto"/>
                <w:sz w:val="24"/>
              </w:rPr>
              <w:t>未来该经费主要</w:t>
            </w:r>
            <w:r>
              <w:rPr>
                <w:rFonts w:hint="eastAsia"/>
                <w:color w:val="auto"/>
                <w:sz w:val="24"/>
              </w:rPr>
              <w:t>围绕国家工程教育认证的专业内涵建设，系列化的优秀课程、网络共享课程的建设和优化、系列核心课程的教材建设</w:t>
            </w:r>
            <w:r>
              <w:rPr>
                <w:rFonts w:hint="default"/>
                <w:color w:val="auto"/>
                <w:sz w:val="24"/>
              </w:rPr>
              <w:t>与出版</w:t>
            </w:r>
            <w:r>
              <w:rPr>
                <w:rFonts w:hint="eastAsia"/>
                <w:color w:val="auto"/>
                <w:sz w:val="24"/>
              </w:rPr>
              <w:t>以及</w:t>
            </w:r>
            <w:r>
              <w:rPr>
                <w:rFonts w:hint="default"/>
                <w:color w:val="auto"/>
                <w:sz w:val="24"/>
              </w:rPr>
              <w:t>进一步</w:t>
            </w:r>
            <w:r>
              <w:rPr>
                <w:rFonts w:hint="eastAsia"/>
                <w:color w:val="auto"/>
                <w:sz w:val="24"/>
              </w:rPr>
              <w:t>教育研究与教改研究的深入开展；其要点是要以国家工程教育认证的标准，夯实专业基础、拓展专业能力培养，</w:t>
            </w:r>
            <w:r>
              <w:rPr>
                <w:rFonts w:hint="default"/>
                <w:color w:val="auto"/>
                <w:sz w:val="24"/>
              </w:rPr>
              <w:t>完善优化整套</w:t>
            </w:r>
            <w:r>
              <w:rPr>
                <w:rFonts w:hint="eastAsia"/>
                <w:color w:val="auto"/>
                <w:sz w:val="24"/>
              </w:rPr>
              <w:t>有特色的</w:t>
            </w:r>
            <w:r>
              <w:rPr>
                <w:rFonts w:hint="default"/>
                <w:color w:val="auto"/>
                <w:sz w:val="24"/>
              </w:rPr>
              <w:t>具有权威的</w:t>
            </w:r>
            <w:r>
              <w:rPr>
                <w:rFonts w:hint="eastAsia"/>
                <w:color w:val="auto"/>
                <w:sz w:val="24"/>
              </w:rPr>
              <w:t>面向应用型本科的</w:t>
            </w:r>
            <w:r>
              <w:rPr>
                <w:rFonts w:hint="default"/>
                <w:color w:val="auto"/>
                <w:sz w:val="24"/>
              </w:rPr>
              <w:t>专业工程基础、专业工程实践</w:t>
            </w:r>
            <w:r>
              <w:rPr>
                <w:rFonts w:hint="eastAsia"/>
                <w:color w:val="auto"/>
                <w:sz w:val="24"/>
                <w:lang w:val="en-US" w:eastAsia="zh-CN"/>
              </w:rPr>
              <w:t>等</w:t>
            </w:r>
            <w:r>
              <w:rPr>
                <w:rFonts w:hint="default"/>
                <w:color w:val="auto"/>
                <w:sz w:val="24"/>
              </w:rPr>
              <w:t>的系列课程与教材，以及在线课程</w:t>
            </w:r>
            <w:r>
              <w:rPr>
                <w:rFonts w:hint="eastAsia"/>
                <w:color w:val="auto"/>
                <w:sz w:val="24"/>
                <w:lang w:val="en-US" w:eastAsia="zh-CN"/>
              </w:rPr>
              <w:t>实验</w:t>
            </w:r>
            <w:r>
              <w:rPr>
                <w:rFonts w:hint="default"/>
                <w:color w:val="auto"/>
                <w:sz w:val="24"/>
              </w:rPr>
              <w:t>实践课程库和</w:t>
            </w:r>
            <w:r>
              <w:rPr>
                <w:rFonts w:hint="eastAsia"/>
                <w:color w:val="auto"/>
                <w:sz w:val="24"/>
              </w:rPr>
              <w:t>云管理平台，</w:t>
            </w:r>
            <w:r>
              <w:rPr>
                <w:rFonts w:hint="default"/>
                <w:color w:val="auto"/>
                <w:sz w:val="24"/>
              </w:rPr>
              <w:t>进一步完善优化</w:t>
            </w:r>
            <w:r>
              <w:rPr>
                <w:rFonts w:hint="eastAsia"/>
                <w:color w:val="auto"/>
                <w:sz w:val="24"/>
              </w:rPr>
              <w:t>面向应用型本科的课程体系和培养模式。</w:t>
            </w:r>
          </w:p>
          <w:p>
            <w:pPr>
              <w:rPr>
                <w:rFonts w:hint="default" w:ascii="Arial" w:hAnsi="Arial" w:cs="Arial"/>
                <w:color w:val="auto"/>
                <w:sz w:val="24"/>
              </w:rPr>
            </w:pPr>
          </w:p>
          <w:p>
            <w:pPr>
              <w:rPr>
                <w:rFonts w:hint="default" w:ascii="Arial" w:hAnsi="Arial" w:cs="Arial"/>
                <w:color w:val="auto"/>
                <w:sz w:val="24"/>
              </w:rPr>
            </w:pPr>
          </w:p>
          <w:p>
            <w:pPr>
              <w:rPr>
                <w:rFonts w:hint="default" w:ascii="Arial" w:hAnsi="Arial" w:cs="Arial"/>
                <w:color w:val="auto"/>
                <w:sz w:val="24"/>
              </w:rPr>
            </w:pPr>
          </w:p>
          <w:p>
            <w:pPr>
              <w:rPr>
                <w:rFonts w:hint="default" w:ascii="Arial" w:hAnsi="Arial" w:cs="Arial"/>
                <w:color w:val="auto"/>
                <w:sz w:val="24"/>
              </w:rPr>
            </w:pPr>
          </w:p>
          <w:p>
            <w:pPr>
              <w:rPr>
                <w:rFonts w:hint="default" w:ascii="Arial" w:hAnsi="Arial" w:cs="Arial"/>
                <w:color w:val="auto"/>
                <w:sz w:val="24"/>
              </w:rPr>
            </w:pPr>
          </w:p>
          <w:p>
            <w:pPr>
              <w:rPr>
                <w:rFonts w:hint="default" w:ascii="Arial" w:hAnsi="Arial" w:cs="Arial"/>
                <w:color w:val="auto"/>
                <w:sz w:val="24"/>
              </w:rPr>
            </w:pPr>
          </w:p>
          <w:p>
            <w:pPr>
              <w:rPr>
                <w:rFonts w:hint="default" w:ascii="Arial" w:hAnsi="Arial" w:cs="Arial"/>
                <w:color w:val="auto"/>
                <w:sz w:val="24"/>
              </w:rPr>
            </w:pPr>
          </w:p>
          <w:p>
            <w:pPr>
              <w:rPr>
                <w:rFonts w:hint="default" w:ascii="Arial" w:hAnsi="Arial" w:cs="Arial"/>
                <w:color w:val="auto"/>
                <w:sz w:val="24"/>
              </w:rPr>
            </w:pPr>
          </w:p>
          <w:p>
            <w:pPr>
              <w:rPr>
                <w:rFonts w:hint="default" w:ascii="Arial" w:hAnsi="Arial" w:cs="Arial"/>
                <w:color w:val="auto"/>
                <w:sz w:val="24"/>
              </w:rPr>
            </w:pPr>
          </w:p>
          <w:p>
            <w:pPr>
              <w:rPr>
                <w:rFonts w:hint="default" w:ascii="Arial" w:hAnsi="Arial" w:cs="Arial"/>
                <w:color w:val="auto"/>
                <w:sz w:val="24"/>
              </w:rPr>
            </w:pPr>
          </w:p>
          <w:p>
            <w:pPr>
              <w:rPr>
                <w:rFonts w:hint="default" w:ascii="Arial" w:hAnsi="Arial" w:cs="Arial"/>
                <w:color w:val="auto"/>
                <w:sz w:val="24"/>
              </w:rPr>
            </w:pPr>
          </w:p>
          <w:p>
            <w:pPr>
              <w:rPr>
                <w:rFonts w:hint="default" w:ascii="Arial" w:hAnsi="Arial" w:cs="Arial"/>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3" w:hRule="atLeast"/>
        </w:trPr>
        <w:tc>
          <w:tcPr>
            <w:tcW w:w="4123" w:type="dxa"/>
            <w:tcBorders>
              <w:top w:val="single" w:color="auto" w:sz="4" w:space="0"/>
              <w:left w:val="single" w:color="000000" w:sz="4" w:space="0"/>
              <w:bottom w:val="single" w:color="000000" w:sz="4" w:space="0"/>
              <w:right w:val="single" w:color="auto" w:sz="4" w:space="0"/>
            </w:tcBorders>
          </w:tcPr>
          <w:p>
            <w:pPr>
              <w:jc w:val="left"/>
              <w:rPr>
                <w:rFonts w:hint="default" w:ascii="Arial" w:hAnsi="Arial" w:cs="Arial"/>
                <w:b/>
                <w:color w:val="auto"/>
                <w:szCs w:val="21"/>
              </w:rPr>
            </w:pPr>
            <w:r>
              <w:rPr>
                <w:rFonts w:hint="default" w:ascii="Arial" w:hAnsi="Arial" w:cs="Arial"/>
                <w:b/>
                <w:color w:val="auto"/>
                <w:szCs w:val="21"/>
              </w:rPr>
              <w:t>财务部门负责人（签字）</w:t>
            </w:r>
          </w:p>
        </w:tc>
        <w:tc>
          <w:tcPr>
            <w:tcW w:w="4399" w:type="dxa"/>
            <w:tcBorders>
              <w:top w:val="single" w:color="auto" w:sz="4" w:space="0"/>
              <w:left w:val="single" w:color="auto" w:sz="4" w:space="0"/>
              <w:bottom w:val="single" w:color="000000" w:sz="4" w:space="0"/>
              <w:right w:val="single" w:color="000000" w:sz="4" w:space="0"/>
            </w:tcBorders>
          </w:tcPr>
          <w:p>
            <w:pPr>
              <w:jc w:val="left"/>
              <w:rPr>
                <w:rFonts w:hint="default" w:ascii="Arial" w:hAnsi="Arial" w:cs="Arial"/>
                <w:b/>
                <w:color w:val="auto"/>
                <w:szCs w:val="21"/>
              </w:rPr>
            </w:pPr>
            <w:r>
              <w:rPr>
                <w:rFonts w:hint="default" w:ascii="Arial" w:hAnsi="Arial" w:cs="Arial"/>
                <w:b/>
                <w:color w:val="auto"/>
                <w:szCs w:val="21"/>
              </w:rPr>
              <w:t>学校财务管理部门（公章）</w:t>
            </w:r>
          </w:p>
        </w:tc>
      </w:tr>
    </w:tbl>
    <w:p>
      <w:pPr>
        <w:rPr>
          <w:rFonts w:hint="eastAsia"/>
          <w:color w:val="auto"/>
          <w:sz w:val="32"/>
          <w:szCs w:val="32"/>
        </w:rPr>
      </w:pPr>
    </w:p>
    <w:p>
      <w:pPr>
        <w:rPr>
          <w:color w:val="auto"/>
          <w:sz w:val="32"/>
          <w:szCs w:val="32"/>
        </w:rPr>
      </w:pPr>
    </w:p>
    <w:p>
      <w:pPr>
        <w:snapToGrid w:val="0"/>
        <w:spacing w:line="300" w:lineRule="auto"/>
        <w:jc w:val="left"/>
        <w:outlineLvl w:val="0"/>
        <w:rPr>
          <w:rFonts w:eastAsia="黑体"/>
          <w:color w:val="auto"/>
          <w:sz w:val="32"/>
          <w:szCs w:val="32"/>
        </w:rPr>
      </w:pPr>
      <w:r>
        <w:rPr>
          <w:rFonts w:eastAsia="黑体"/>
          <w:color w:val="auto"/>
          <w:sz w:val="32"/>
          <w:szCs w:val="32"/>
        </w:rPr>
        <w:t>七、项目负责人意见</w:t>
      </w:r>
    </w:p>
    <w:tbl>
      <w:tblPr>
        <w:tblStyle w:val="23"/>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2" w:hRule="atLeast"/>
        </w:trPr>
        <w:tc>
          <w:tcPr>
            <w:tcW w:w="9072" w:type="dxa"/>
            <w:tcBorders>
              <w:top w:val="single" w:color="auto" w:sz="4" w:space="0"/>
              <w:left w:val="single" w:color="auto" w:sz="4" w:space="0"/>
              <w:bottom w:val="single" w:color="auto" w:sz="4" w:space="0"/>
              <w:right w:val="single" w:color="auto" w:sz="4" w:space="0"/>
            </w:tcBorders>
            <w:vAlign w:val="top"/>
          </w:tcPr>
          <w:p>
            <w:pPr>
              <w:rPr>
                <w:rFonts w:eastAsia="仿宋_GB2312"/>
                <w:color w:val="auto"/>
                <w:sz w:val="32"/>
                <w:szCs w:val="22"/>
              </w:rPr>
            </w:pPr>
          </w:p>
          <w:p>
            <w:pPr>
              <w:rPr>
                <w:rFonts w:eastAsia="仿宋_GB2312"/>
                <w:color w:val="auto"/>
                <w:sz w:val="32"/>
              </w:rPr>
            </w:pPr>
          </w:p>
          <w:p>
            <w:pPr>
              <w:rPr>
                <w:rFonts w:eastAsia="仿宋_GB2312"/>
                <w:color w:val="auto"/>
                <w:sz w:val="32"/>
              </w:rPr>
            </w:pPr>
          </w:p>
          <w:p>
            <w:pPr>
              <w:rPr>
                <w:rFonts w:eastAsia="仿宋_GB2312"/>
                <w:color w:val="auto"/>
                <w:sz w:val="32"/>
              </w:rPr>
            </w:pPr>
          </w:p>
          <w:p>
            <w:pPr>
              <w:ind w:right="640" w:firstLine="4960" w:firstLineChars="1550"/>
              <w:rPr>
                <w:color w:val="auto"/>
                <w:sz w:val="32"/>
              </w:rPr>
            </w:pPr>
          </w:p>
          <w:p>
            <w:pPr>
              <w:ind w:right="640" w:firstLine="4960" w:firstLineChars="1550"/>
              <w:rPr>
                <w:color w:val="auto"/>
                <w:sz w:val="32"/>
              </w:rPr>
            </w:pPr>
          </w:p>
          <w:p>
            <w:pPr>
              <w:ind w:right="640" w:firstLine="4340" w:firstLineChars="1550"/>
              <w:jc w:val="left"/>
              <w:rPr>
                <w:color w:val="auto"/>
                <w:sz w:val="28"/>
              </w:rPr>
            </w:pPr>
          </w:p>
          <w:p>
            <w:pPr>
              <w:ind w:right="640" w:firstLine="4900" w:firstLineChars="1750"/>
              <w:rPr>
                <w:color w:val="auto"/>
                <w:sz w:val="28"/>
              </w:rPr>
            </w:pPr>
            <w:r>
              <w:rPr>
                <w:color w:val="auto"/>
                <w:sz w:val="28"/>
              </w:rPr>
              <w:t>项目负责人签名：</w:t>
            </w:r>
          </w:p>
          <w:p>
            <w:pPr>
              <w:ind w:right="560" w:firstLine="4900" w:firstLineChars="1750"/>
              <w:rPr>
                <w:rFonts w:eastAsia="仿宋_GB2312"/>
                <w:color w:val="auto"/>
                <w:sz w:val="32"/>
                <w:szCs w:val="22"/>
              </w:rPr>
            </w:pPr>
            <w:r>
              <w:rPr>
                <w:color w:val="auto"/>
                <w:sz w:val="28"/>
              </w:rPr>
              <w:t>年    月     日</w:t>
            </w:r>
          </w:p>
        </w:tc>
      </w:tr>
    </w:tbl>
    <w:p>
      <w:pPr>
        <w:snapToGrid w:val="0"/>
        <w:spacing w:line="300" w:lineRule="auto"/>
        <w:jc w:val="left"/>
        <w:outlineLvl w:val="0"/>
        <w:rPr>
          <w:rFonts w:eastAsia="黑体"/>
          <w:b/>
          <w:color w:val="auto"/>
          <w:sz w:val="32"/>
          <w:szCs w:val="32"/>
        </w:rPr>
      </w:pPr>
    </w:p>
    <w:p>
      <w:pPr>
        <w:snapToGrid w:val="0"/>
        <w:spacing w:line="300" w:lineRule="auto"/>
        <w:jc w:val="left"/>
        <w:outlineLvl w:val="0"/>
        <w:rPr>
          <w:rFonts w:eastAsia="黑体"/>
          <w:color w:val="auto"/>
          <w:sz w:val="32"/>
          <w:szCs w:val="32"/>
        </w:rPr>
      </w:pPr>
      <w:r>
        <w:rPr>
          <w:rFonts w:eastAsia="黑体"/>
          <w:color w:val="auto"/>
          <w:sz w:val="32"/>
          <w:szCs w:val="32"/>
        </w:rPr>
        <w:t>八、学校审核意见</w:t>
      </w:r>
    </w:p>
    <w:tbl>
      <w:tblPr>
        <w:tblStyle w:val="23"/>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9" w:hRule="atLeast"/>
        </w:trPr>
        <w:tc>
          <w:tcPr>
            <w:tcW w:w="9072" w:type="dxa"/>
            <w:tcBorders>
              <w:top w:val="single" w:color="auto" w:sz="4" w:space="0"/>
              <w:left w:val="single" w:color="auto" w:sz="4" w:space="0"/>
              <w:bottom w:val="single" w:color="auto" w:sz="4" w:space="0"/>
              <w:right w:val="single" w:color="auto" w:sz="4" w:space="0"/>
            </w:tcBorders>
            <w:vAlign w:val="top"/>
          </w:tcPr>
          <w:p>
            <w:pPr>
              <w:rPr>
                <w:rFonts w:eastAsia="仿宋_GB2312"/>
                <w:color w:val="auto"/>
                <w:sz w:val="32"/>
                <w:szCs w:val="22"/>
              </w:rPr>
            </w:pPr>
          </w:p>
          <w:p>
            <w:pPr>
              <w:rPr>
                <w:rFonts w:eastAsia="仿宋_GB2312"/>
                <w:color w:val="auto"/>
                <w:sz w:val="32"/>
              </w:rPr>
            </w:pPr>
          </w:p>
          <w:p>
            <w:pPr>
              <w:rPr>
                <w:rFonts w:eastAsia="仿宋_GB2312"/>
                <w:color w:val="auto"/>
                <w:sz w:val="32"/>
              </w:rPr>
            </w:pPr>
          </w:p>
          <w:p>
            <w:pPr>
              <w:rPr>
                <w:rFonts w:eastAsia="仿宋_GB2312"/>
                <w:color w:val="auto"/>
                <w:sz w:val="32"/>
              </w:rPr>
            </w:pPr>
          </w:p>
          <w:p>
            <w:pPr>
              <w:rPr>
                <w:rFonts w:eastAsia="仿宋_GB2312"/>
                <w:color w:val="auto"/>
                <w:sz w:val="32"/>
              </w:rPr>
            </w:pPr>
          </w:p>
          <w:p>
            <w:pPr>
              <w:rPr>
                <w:rFonts w:eastAsia="仿宋_GB2312"/>
                <w:color w:val="auto"/>
                <w:sz w:val="32"/>
              </w:rPr>
            </w:pPr>
          </w:p>
          <w:p>
            <w:pPr>
              <w:rPr>
                <w:rFonts w:eastAsia="仿宋_GB2312"/>
                <w:color w:val="auto"/>
                <w:sz w:val="32"/>
              </w:rPr>
            </w:pPr>
          </w:p>
          <w:p>
            <w:pPr>
              <w:widowControl/>
              <w:snapToGrid w:val="0"/>
              <w:spacing w:line="360" w:lineRule="auto"/>
              <w:ind w:firstLine="560" w:firstLineChars="200"/>
              <w:jc w:val="left"/>
              <w:rPr>
                <w:color w:val="auto"/>
                <w:sz w:val="28"/>
                <w:szCs w:val="28"/>
              </w:rPr>
            </w:pPr>
            <w:r>
              <w:rPr>
                <w:color w:val="auto"/>
                <w:sz w:val="28"/>
                <w:szCs w:val="28"/>
              </w:rPr>
              <w:t>　　　　　　校（院）长签名：</w:t>
            </w:r>
          </w:p>
          <w:p>
            <w:pPr>
              <w:widowControl/>
              <w:snapToGrid w:val="0"/>
              <w:spacing w:line="360" w:lineRule="auto"/>
              <w:ind w:firstLine="4480" w:firstLineChars="1600"/>
              <w:jc w:val="left"/>
              <w:rPr>
                <w:color w:val="auto"/>
                <w:sz w:val="28"/>
                <w:szCs w:val="28"/>
              </w:rPr>
            </w:pPr>
            <w:r>
              <w:rPr>
                <w:color w:val="auto"/>
                <w:sz w:val="28"/>
                <w:szCs w:val="28"/>
              </w:rPr>
              <w:t>（公章）</w:t>
            </w:r>
          </w:p>
          <w:p>
            <w:pPr>
              <w:ind w:firstLine="5440" w:firstLineChars="1700"/>
              <w:rPr>
                <w:rFonts w:eastAsia="仿宋_GB2312"/>
                <w:color w:val="auto"/>
                <w:sz w:val="32"/>
                <w:szCs w:val="22"/>
              </w:rPr>
            </w:pPr>
          </w:p>
        </w:tc>
      </w:tr>
    </w:tbl>
    <w:p>
      <w:pPr>
        <w:rPr>
          <w:rFonts w:eastAsia="黑体"/>
          <w:color w:val="auto"/>
          <w:sz w:val="32"/>
          <w:szCs w:val="32"/>
        </w:rPr>
      </w:pPr>
    </w:p>
    <w:p>
      <w:pPr>
        <w:pStyle w:val="8"/>
        <w:ind w:left="0" w:firstLine="640"/>
        <w:rPr>
          <w:rFonts w:ascii="Times New Roman" w:eastAsia="仿宋"/>
          <w:color w:val="auto"/>
          <w:szCs w:val="30"/>
        </w:rPr>
      </w:pPr>
      <w:r>
        <w:rPr>
          <w:rFonts w:ascii="Times New Roman" w:eastAsia="仿宋"/>
          <w:color w:val="auto"/>
          <w:szCs w:val="30"/>
        </w:rPr>
        <w:t>附1：标志性成果相关证明</w:t>
      </w:r>
    </w:p>
    <w:p>
      <w:pPr>
        <w:pStyle w:val="8"/>
        <w:ind w:left="0" w:firstLine="640"/>
        <w:rPr>
          <w:rFonts w:ascii="Times New Roman" w:eastAsia="仿宋"/>
          <w:color w:val="auto"/>
          <w:szCs w:val="30"/>
        </w:rPr>
      </w:pPr>
      <w:r>
        <w:rPr>
          <w:rFonts w:ascii="Times New Roman" w:eastAsia="仿宋"/>
          <w:color w:val="auto"/>
          <w:szCs w:val="30"/>
        </w:rPr>
        <w:t>附2：经费使用情况相关证明</w:t>
      </w:r>
    </w:p>
    <w:p>
      <w:pPr>
        <w:pStyle w:val="8"/>
        <w:ind w:left="0" w:firstLine="640"/>
        <w:rPr>
          <w:rFonts w:ascii="Times New Roman" w:eastAsia="仿宋"/>
          <w:color w:val="auto"/>
          <w:szCs w:val="30"/>
        </w:rPr>
      </w:pPr>
      <w:r>
        <w:rPr>
          <w:rFonts w:ascii="Times New Roman" w:eastAsia="仿宋"/>
          <w:color w:val="auto"/>
          <w:szCs w:val="30"/>
        </w:rPr>
        <w:t>附3：分项任务建设内容相关证明</w:t>
      </w:r>
    </w:p>
    <w:p>
      <w:pPr>
        <w:rPr>
          <w:rFonts w:eastAsia="黑体"/>
          <w:color w:val="auto"/>
          <w:sz w:val="32"/>
          <w:szCs w:val="32"/>
        </w:rPr>
      </w:pPr>
    </w:p>
    <w:p>
      <w:pPr>
        <w:widowControl/>
        <w:jc w:val="left"/>
        <w:rPr>
          <w:rFonts w:eastAsia="黑体"/>
          <w:color w:val="auto"/>
          <w:sz w:val="32"/>
          <w:szCs w:val="32"/>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pPr>
        <w:rPr>
          <w:rFonts w:ascii="宋体" w:hAnsi="宋体"/>
          <w:color w:val="auto"/>
          <w:w w:val="90"/>
          <w:sz w:val="32"/>
          <w:szCs w:val="32"/>
        </w:rPr>
      </w:pPr>
      <w:r>
        <w:rPr>
          <w:rFonts w:hint="eastAsia" w:eastAsia="黑体"/>
          <w:color w:val="auto"/>
          <w:sz w:val="32"/>
          <w:szCs w:val="32"/>
        </w:rPr>
        <w:t>九</w:t>
      </w:r>
      <w:r>
        <w:rPr>
          <w:rFonts w:eastAsia="黑体"/>
          <w:color w:val="auto"/>
          <w:sz w:val="32"/>
          <w:szCs w:val="32"/>
        </w:rPr>
        <w:t>、形式审核评价表</w:t>
      </w:r>
      <w:r>
        <w:rPr>
          <w:rFonts w:hint="eastAsia" w:ascii="宋体" w:hAnsi="宋体"/>
          <w:color w:val="auto"/>
          <w:w w:val="90"/>
          <w:szCs w:val="21"/>
        </w:rPr>
        <w:t>（本页请作为期末报告的封底页，请勿使用铜版纸、请勿填写）</w:t>
      </w:r>
    </w:p>
    <w:tbl>
      <w:tblPr>
        <w:tblStyle w:val="23"/>
        <w:tblpPr w:leftFromText="180" w:rightFromText="180" w:vertAnchor="text" w:tblpX="-176" w:tblpY="1"/>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552"/>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1985" w:type="dxa"/>
            <w:vMerge w:val="restart"/>
            <w:tcBorders>
              <w:top w:val="single" w:color="auto" w:sz="4" w:space="0"/>
              <w:left w:val="single" w:color="auto" w:sz="4" w:space="0"/>
              <w:right w:val="single" w:color="auto" w:sz="4" w:space="0"/>
            </w:tcBorders>
            <w:vAlign w:val="center"/>
          </w:tcPr>
          <w:p>
            <w:pPr>
              <w:jc w:val="center"/>
              <w:rPr>
                <w:b/>
                <w:color w:val="auto"/>
                <w:szCs w:val="21"/>
              </w:rPr>
            </w:pPr>
            <w:r>
              <w:rPr>
                <w:b/>
                <w:color w:val="auto"/>
                <w:szCs w:val="21"/>
              </w:rPr>
              <w:t>内容</w:t>
            </w:r>
          </w:p>
        </w:tc>
        <w:tc>
          <w:tcPr>
            <w:tcW w:w="3969" w:type="dxa"/>
            <w:gridSpan w:val="2"/>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r>
              <w:rPr>
                <w:b/>
                <w:color w:val="auto"/>
                <w:szCs w:val="21"/>
              </w:rPr>
              <w:t>审核人</w:t>
            </w:r>
            <w:r>
              <w:rPr>
                <w:rFonts w:hint="eastAsia"/>
                <w:b/>
                <w:color w:val="auto"/>
                <w:szCs w:val="21"/>
              </w:rPr>
              <w:t>1</w:t>
            </w:r>
          </w:p>
        </w:tc>
        <w:tc>
          <w:tcPr>
            <w:tcW w:w="3544" w:type="dxa"/>
            <w:gridSpan w:val="2"/>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r>
              <w:rPr>
                <w:b/>
                <w:color w:val="auto"/>
                <w:szCs w:val="21"/>
              </w:rPr>
              <w:t>审核人</w:t>
            </w:r>
            <w:r>
              <w:rPr>
                <w:rFonts w:hint="eastAsia"/>
                <w:b/>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1985" w:type="dxa"/>
            <w:vMerge w:val="continue"/>
            <w:tcBorders>
              <w:left w:val="single" w:color="auto" w:sz="4" w:space="0"/>
              <w:bottom w:val="single" w:color="auto" w:sz="4" w:space="0"/>
              <w:right w:val="single" w:color="auto" w:sz="4" w:space="0"/>
            </w:tcBorders>
            <w:vAlign w:val="center"/>
          </w:tcPr>
          <w:p>
            <w:pPr>
              <w:jc w:val="center"/>
              <w:rPr>
                <w:b/>
                <w:color w:val="auto"/>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r>
              <w:rPr>
                <w:b/>
                <w:color w:val="auto"/>
                <w:szCs w:val="21"/>
              </w:rPr>
              <w:t>意见</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hint="eastAsia"/>
                <w:b/>
                <w:color w:val="auto"/>
                <w:szCs w:val="21"/>
              </w:rPr>
            </w:pPr>
            <w:r>
              <w:rPr>
                <w:rFonts w:hint="eastAsia"/>
                <w:b/>
                <w:color w:val="auto"/>
                <w:szCs w:val="21"/>
              </w:rPr>
              <w:t>签名</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r>
              <w:rPr>
                <w:b/>
                <w:color w:val="auto"/>
                <w:szCs w:val="21"/>
              </w:rPr>
              <w:t>意见</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b/>
                <w:color w:val="auto"/>
                <w:szCs w:val="21"/>
              </w:rPr>
            </w:pPr>
            <w:r>
              <w:rPr>
                <w:rFonts w:hint="eastAsia"/>
                <w:b/>
                <w:color w:val="auto"/>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1" w:hRule="exact"/>
        </w:trPr>
        <w:tc>
          <w:tcPr>
            <w:tcW w:w="1985" w:type="dxa"/>
            <w:tcBorders>
              <w:top w:val="single" w:color="auto" w:sz="4" w:space="0"/>
              <w:left w:val="single" w:color="auto" w:sz="4" w:space="0"/>
              <w:bottom w:val="single" w:color="auto" w:sz="4" w:space="0"/>
              <w:right w:val="single" w:color="auto" w:sz="4" w:space="0"/>
            </w:tcBorders>
            <w:vAlign w:val="center"/>
          </w:tcPr>
          <w:p>
            <w:pPr>
              <w:jc w:val="left"/>
              <w:rPr>
                <w:rFonts w:hint="eastAsia"/>
                <w:b/>
                <w:color w:val="auto"/>
                <w:szCs w:val="21"/>
              </w:rPr>
            </w:pPr>
            <w:r>
              <w:rPr>
                <w:rFonts w:hint="eastAsia"/>
                <w:b/>
                <w:color w:val="auto"/>
                <w:szCs w:val="21"/>
              </w:rPr>
              <w:t>“</w:t>
            </w:r>
            <w:r>
              <w:rPr>
                <w:b/>
                <w:color w:val="auto"/>
                <w:szCs w:val="21"/>
              </w:rPr>
              <w:t>总体评价</w:t>
            </w:r>
            <w:r>
              <w:rPr>
                <w:rFonts w:hint="eastAsia"/>
                <w:b/>
                <w:color w:val="auto"/>
                <w:szCs w:val="21"/>
              </w:rPr>
              <w:t>”</w:t>
            </w:r>
          </w:p>
          <w:p>
            <w:pPr>
              <w:jc w:val="left"/>
              <w:rPr>
                <w:b/>
                <w:color w:val="auto"/>
                <w:szCs w:val="21"/>
              </w:rPr>
            </w:pPr>
            <w:r>
              <w:rPr>
                <w:b/>
                <w:color w:val="auto"/>
                <w:szCs w:val="21"/>
              </w:rPr>
              <w:t>是否实事求是</w:t>
            </w:r>
          </w:p>
        </w:tc>
        <w:tc>
          <w:tcPr>
            <w:tcW w:w="2552"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yellow"/>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1" w:hRule="exact"/>
        </w:trPr>
        <w:tc>
          <w:tcPr>
            <w:tcW w:w="1985" w:type="dxa"/>
            <w:tcBorders>
              <w:top w:val="single" w:color="auto" w:sz="4" w:space="0"/>
              <w:left w:val="single" w:color="auto" w:sz="4" w:space="0"/>
              <w:bottom w:val="single" w:color="auto" w:sz="4" w:space="0"/>
              <w:right w:val="single" w:color="auto" w:sz="4" w:space="0"/>
            </w:tcBorders>
            <w:vAlign w:val="center"/>
          </w:tcPr>
          <w:p>
            <w:pPr>
              <w:jc w:val="left"/>
              <w:rPr>
                <w:rFonts w:hint="eastAsia"/>
                <w:b/>
                <w:color w:val="auto"/>
                <w:szCs w:val="21"/>
              </w:rPr>
            </w:pPr>
            <w:r>
              <w:rPr>
                <w:rFonts w:hint="eastAsia"/>
                <w:b/>
                <w:color w:val="auto"/>
                <w:szCs w:val="21"/>
              </w:rPr>
              <w:t>有无师德师风等重大问题</w:t>
            </w:r>
          </w:p>
        </w:tc>
        <w:tc>
          <w:tcPr>
            <w:tcW w:w="2552"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yellow"/>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1" w:hRule="exact"/>
        </w:trPr>
        <w:tc>
          <w:tcPr>
            <w:tcW w:w="1985" w:type="dxa"/>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r>
              <w:rPr>
                <w:rFonts w:hint="eastAsia"/>
                <w:b/>
                <w:color w:val="auto"/>
                <w:szCs w:val="21"/>
              </w:rPr>
              <w:t>有无实事求是填写《项目任务书》的既定各项任务</w:t>
            </w:r>
          </w:p>
        </w:tc>
        <w:tc>
          <w:tcPr>
            <w:tcW w:w="2552"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yellow"/>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1" w:hRule="exact"/>
        </w:trPr>
        <w:tc>
          <w:tcPr>
            <w:tcW w:w="198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b/>
                <w:color w:val="auto"/>
                <w:szCs w:val="21"/>
              </w:rPr>
            </w:pPr>
            <w:r>
              <w:rPr>
                <w:rFonts w:hint="eastAsia"/>
                <w:b/>
                <w:color w:val="auto"/>
                <w:szCs w:val="21"/>
              </w:rPr>
              <w:t>任务实际完成情况、未完成情况是否实事求是</w:t>
            </w:r>
          </w:p>
        </w:tc>
        <w:tc>
          <w:tcPr>
            <w:tcW w:w="2552"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yellow"/>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1" w:hRule="exact"/>
        </w:trPr>
        <w:tc>
          <w:tcPr>
            <w:tcW w:w="1985" w:type="dxa"/>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r>
              <w:rPr>
                <w:b/>
                <w:color w:val="auto"/>
                <w:szCs w:val="21"/>
              </w:rPr>
              <w:t>标志性成果数量和级别是否达到要求</w:t>
            </w:r>
          </w:p>
        </w:tc>
        <w:tc>
          <w:tcPr>
            <w:tcW w:w="2552"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yellow"/>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1" w:hRule="exact"/>
        </w:trPr>
        <w:tc>
          <w:tcPr>
            <w:tcW w:w="1985" w:type="dxa"/>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r>
              <w:rPr>
                <w:b/>
                <w:color w:val="auto"/>
                <w:szCs w:val="21"/>
              </w:rPr>
              <w:t>是否存在不符合</w:t>
            </w:r>
            <w:r>
              <w:rPr>
                <w:rFonts w:hint="eastAsia"/>
                <w:b/>
                <w:color w:val="auto"/>
                <w:szCs w:val="21"/>
              </w:rPr>
              <w:t>要求</w:t>
            </w:r>
            <w:r>
              <w:rPr>
                <w:b/>
                <w:color w:val="auto"/>
                <w:szCs w:val="21"/>
              </w:rPr>
              <w:t>的标志性成果</w:t>
            </w:r>
          </w:p>
        </w:tc>
        <w:tc>
          <w:tcPr>
            <w:tcW w:w="2552"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yellow"/>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1" w:hRule="exact"/>
        </w:trPr>
        <w:tc>
          <w:tcPr>
            <w:tcW w:w="1985" w:type="dxa"/>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r>
              <w:rPr>
                <w:rFonts w:hint="eastAsia"/>
                <w:b/>
                <w:color w:val="auto"/>
                <w:szCs w:val="21"/>
              </w:rPr>
              <w:t>“精彩三事例”有无显示度</w:t>
            </w:r>
          </w:p>
        </w:tc>
        <w:tc>
          <w:tcPr>
            <w:tcW w:w="2552"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yellow"/>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1" w:hRule="exact"/>
        </w:trPr>
        <w:tc>
          <w:tcPr>
            <w:tcW w:w="1985" w:type="dxa"/>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r>
              <w:rPr>
                <w:b/>
                <w:color w:val="auto"/>
                <w:szCs w:val="21"/>
              </w:rPr>
              <w:t>对经费使用率的评价</w:t>
            </w:r>
          </w:p>
        </w:tc>
        <w:tc>
          <w:tcPr>
            <w:tcW w:w="2552"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yellow"/>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1" w:hRule="exact"/>
        </w:trPr>
        <w:tc>
          <w:tcPr>
            <w:tcW w:w="1985" w:type="dxa"/>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r>
              <w:rPr>
                <w:b/>
                <w:color w:val="auto"/>
                <w:szCs w:val="21"/>
              </w:rPr>
              <w:t>其他</w:t>
            </w:r>
          </w:p>
        </w:tc>
        <w:tc>
          <w:tcPr>
            <w:tcW w:w="2552"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yellow"/>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1" w:hRule="exact"/>
        </w:trPr>
        <w:tc>
          <w:tcPr>
            <w:tcW w:w="1985" w:type="dxa"/>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r>
              <w:rPr>
                <w:b/>
                <w:color w:val="auto"/>
                <w:szCs w:val="21"/>
              </w:rPr>
              <w:t>形式审核总体结论</w:t>
            </w:r>
          </w:p>
        </w:tc>
        <w:tc>
          <w:tcPr>
            <w:tcW w:w="2552"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yellow"/>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p>
        </w:tc>
      </w:tr>
    </w:tbl>
    <w:p>
      <w:pPr>
        <w:snapToGrid w:val="0"/>
        <w:spacing w:line="360" w:lineRule="auto"/>
        <w:rPr>
          <w:rFonts w:eastAsia="黑体"/>
          <w:color w:val="auto"/>
          <w:sz w:val="32"/>
          <w:szCs w:val="32"/>
        </w:rPr>
      </w:pPr>
      <w:r>
        <w:rPr>
          <w:rFonts w:eastAsia="黑体"/>
          <w:color w:val="auto"/>
          <w:sz w:val="32"/>
          <w:szCs w:val="32"/>
        </w:rPr>
        <w:br w:type="page"/>
      </w:r>
      <w:r>
        <w:rPr>
          <w:rFonts w:eastAsia="黑体"/>
          <w:color w:val="auto"/>
          <w:sz w:val="32"/>
          <w:szCs w:val="32"/>
        </w:rPr>
        <w:t>附件</w:t>
      </w:r>
      <w:r>
        <w:rPr>
          <w:rFonts w:hint="eastAsia" w:eastAsia="黑体"/>
          <w:color w:val="auto"/>
          <w:sz w:val="32"/>
          <w:szCs w:val="32"/>
        </w:rPr>
        <w:t>3</w:t>
      </w:r>
    </w:p>
    <w:p>
      <w:pPr>
        <w:spacing w:line="560" w:lineRule="exact"/>
        <w:jc w:val="center"/>
        <w:rPr>
          <w:rFonts w:eastAsia="华文中宋"/>
          <w:b/>
          <w:color w:val="auto"/>
          <w:sz w:val="32"/>
          <w:szCs w:val="32"/>
        </w:rPr>
      </w:pPr>
      <w:r>
        <w:rPr>
          <w:rFonts w:eastAsia="华文中宋"/>
          <w:b/>
          <w:color w:val="auto"/>
          <w:sz w:val="32"/>
          <w:szCs w:val="32"/>
        </w:rPr>
        <w:t>江苏高校品牌专业建设工程一期项目</w:t>
      </w:r>
    </w:p>
    <w:p>
      <w:pPr>
        <w:spacing w:line="560" w:lineRule="exact"/>
        <w:jc w:val="center"/>
        <w:rPr>
          <w:rFonts w:eastAsia="华文中宋"/>
          <w:b/>
          <w:color w:val="auto"/>
          <w:sz w:val="32"/>
          <w:szCs w:val="32"/>
        </w:rPr>
      </w:pPr>
      <w:r>
        <w:rPr>
          <w:rFonts w:eastAsia="华文中宋"/>
          <w:b/>
          <w:color w:val="auto"/>
          <w:sz w:val="32"/>
          <w:szCs w:val="32"/>
        </w:rPr>
        <w:t>2015-201</w:t>
      </w:r>
      <w:r>
        <w:rPr>
          <w:rFonts w:hint="eastAsia" w:eastAsia="华文中宋"/>
          <w:b/>
          <w:color w:val="auto"/>
          <w:sz w:val="32"/>
          <w:szCs w:val="32"/>
        </w:rPr>
        <w:t>8</w:t>
      </w:r>
      <w:r>
        <w:rPr>
          <w:rFonts w:eastAsia="华文中宋"/>
          <w:b/>
          <w:color w:val="auto"/>
          <w:sz w:val="32"/>
          <w:szCs w:val="32"/>
        </w:rPr>
        <w:t>年省财政专项资金拨付标准</w:t>
      </w:r>
    </w:p>
    <w:p>
      <w:pPr>
        <w:spacing w:line="560" w:lineRule="exact"/>
        <w:jc w:val="center"/>
        <w:rPr>
          <w:rFonts w:eastAsia="楷体"/>
          <w:b/>
          <w:color w:val="auto"/>
          <w:sz w:val="32"/>
          <w:szCs w:val="32"/>
        </w:rPr>
      </w:pPr>
      <w:r>
        <w:rPr>
          <w:rFonts w:eastAsia="楷体"/>
          <w:b/>
          <w:color w:val="auto"/>
          <w:sz w:val="32"/>
          <w:szCs w:val="32"/>
        </w:rPr>
        <w:t>（单位：万元）</w:t>
      </w:r>
    </w:p>
    <w:p>
      <w:pPr>
        <w:spacing w:line="560" w:lineRule="exact"/>
        <w:jc w:val="center"/>
        <w:rPr>
          <w:rFonts w:eastAsia="仿宋_GB2312"/>
          <w:b/>
          <w:color w:val="auto"/>
          <w:sz w:val="32"/>
          <w:szCs w:val="32"/>
        </w:rPr>
      </w:pPr>
    </w:p>
    <w:tbl>
      <w:tblPr>
        <w:tblStyle w:val="23"/>
        <w:tblW w:w="8613"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944"/>
        <w:gridCol w:w="1480"/>
        <w:gridCol w:w="1559"/>
        <w:gridCol w:w="1276"/>
        <w:gridCol w:w="155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795" w:type="dxa"/>
            <w:vMerge w:val="restart"/>
            <w:tcBorders>
              <w:top w:val="single" w:color="auto" w:sz="4" w:space="0"/>
              <w:left w:val="nil"/>
              <w:bottom w:val="single" w:color="auto" w:sz="4" w:space="0"/>
              <w:right w:val="single" w:color="auto" w:sz="4" w:space="0"/>
            </w:tcBorders>
            <w:vAlign w:val="center"/>
          </w:tcPr>
          <w:p>
            <w:pPr>
              <w:snapToGrid w:val="0"/>
              <w:spacing w:line="276" w:lineRule="auto"/>
              <w:jc w:val="center"/>
              <w:rPr>
                <w:b/>
                <w:color w:val="auto"/>
                <w:kern w:val="0"/>
                <w:sz w:val="28"/>
                <w:szCs w:val="28"/>
              </w:rPr>
            </w:pPr>
            <w:r>
              <w:rPr>
                <w:b/>
                <w:color w:val="auto"/>
                <w:kern w:val="0"/>
                <w:sz w:val="28"/>
                <w:szCs w:val="28"/>
              </w:rPr>
              <w:t>建设类型</w:t>
            </w:r>
          </w:p>
        </w:tc>
        <w:tc>
          <w:tcPr>
            <w:tcW w:w="1944" w:type="dxa"/>
            <w:vMerge w:val="restart"/>
            <w:tcBorders>
              <w:top w:val="single" w:color="auto" w:sz="4" w:space="0"/>
              <w:left w:val="single" w:color="auto" w:sz="4" w:space="0"/>
              <w:bottom w:val="single" w:color="auto" w:sz="4" w:space="0"/>
              <w:right w:val="single" w:color="auto" w:sz="4" w:space="0"/>
            </w:tcBorders>
            <w:vAlign w:val="top"/>
          </w:tcPr>
          <w:p>
            <w:pPr>
              <w:snapToGrid w:val="0"/>
              <w:spacing w:line="360" w:lineRule="exact"/>
              <w:jc w:val="center"/>
              <w:rPr>
                <w:b/>
                <w:color w:val="auto"/>
                <w:kern w:val="0"/>
                <w:sz w:val="28"/>
                <w:szCs w:val="28"/>
              </w:rPr>
            </w:pPr>
          </w:p>
        </w:tc>
        <w:tc>
          <w:tcPr>
            <w:tcW w:w="303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b/>
                <w:color w:val="auto"/>
                <w:kern w:val="0"/>
                <w:sz w:val="28"/>
                <w:szCs w:val="28"/>
              </w:rPr>
            </w:pPr>
            <w:r>
              <w:rPr>
                <w:b/>
                <w:color w:val="auto"/>
                <w:kern w:val="0"/>
                <w:sz w:val="28"/>
                <w:szCs w:val="28"/>
              </w:rPr>
              <w:t>省属</w:t>
            </w:r>
          </w:p>
        </w:tc>
        <w:tc>
          <w:tcPr>
            <w:tcW w:w="2835" w:type="dxa"/>
            <w:gridSpan w:val="2"/>
            <w:tcBorders>
              <w:top w:val="single" w:color="auto" w:sz="4" w:space="0"/>
              <w:left w:val="single" w:color="auto" w:sz="4" w:space="0"/>
              <w:bottom w:val="single" w:color="auto" w:sz="4" w:space="0"/>
              <w:right w:val="nil"/>
            </w:tcBorders>
            <w:vAlign w:val="center"/>
          </w:tcPr>
          <w:p>
            <w:pPr>
              <w:snapToGrid w:val="0"/>
              <w:spacing w:line="360" w:lineRule="exact"/>
              <w:jc w:val="center"/>
              <w:rPr>
                <w:b/>
                <w:color w:val="auto"/>
                <w:kern w:val="0"/>
                <w:sz w:val="28"/>
                <w:szCs w:val="28"/>
              </w:rPr>
            </w:pPr>
            <w:r>
              <w:rPr>
                <w:b/>
                <w:color w:val="auto"/>
                <w:kern w:val="0"/>
                <w:sz w:val="28"/>
                <w:szCs w:val="28"/>
              </w:rPr>
              <w:t>部委属、市属、民办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795" w:type="dxa"/>
            <w:vMerge w:val="continue"/>
            <w:tcBorders>
              <w:top w:val="single" w:color="auto" w:sz="4" w:space="0"/>
              <w:left w:val="nil"/>
              <w:bottom w:val="single" w:color="auto" w:sz="4" w:space="0"/>
              <w:right w:val="single" w:color="auto" w:sz="4" w:space="0"/>
            </w:tcBorders>
            <w:vAlign w:val="center"/>
          </w:tcPr>
          <w:p>
            <w:pPr>
              <w:widowControl/>
              <w:jc w:val="left"/>
              <w:rPr>
                <w:b/>
                <w:color w:val="auto"/>
                <w:kern w:val="0"/>
                <w:sz w:val="28"/>
                <w:szCs w:val="2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kern w:val="0"/>
                <w:sz w:val="28"/>
                <w:szCs w:val="28"/>
              </w:rPr>
            </w:pPr>
          </w:p>
        </w:tc>
        <w:tc>
          <w:tcPr>
            <w:tcW w:w="14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b/>
                <w:color w:val="auto"/>
                <w:kern w:val="0"/>
                <w:sz w:val="28"/>
                <w:szCs w:val="28"/>
              </w:rPr>
            </w:pPr>
            <w:r>
              <w:rPr>
                <w:b/>
                <w:color w:val="auto"/>
                <w:kern w:val="0"/>
                <w:sz w:val="28"/>
                <w:szCs w:val="28"/>
              </w:rPr>
              <w:t>文科</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b/>
                <w:color w:val="auto"/>
                <w:kern w:val="0"/>
                <w:sz w:val="28"/>
                <w:szCs w:val="28"/>
              </w:rPr>
            </w:pPr>
            <w:r>
              <w:rPr>
                <w:b/>
                <w:color w:val="auto"/>
                <w:kern w:val="0"/>
                <w:sz w:val="28"/>
                <w:szCs w:val="28"/>
              </w:rPr>
              <w:t>其他专业</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b/>
                <w:color w:val="auto"/>
                <w:kern w:val="0"/>
                <w:sz w:val="28"/>
                <w:szCs w:val="28"/>
              </w:rPr>
            </w:pPr>
            <w:r>
              <w:rPr>
                <w:b/>
                <w:color w:val="auto"/>
                <w:kern w:val="0"/>
                <w:sz w:val="28"/>
                <w:szCs w:val="28"/>
              </w:rPr>
              <w:t>文科</w:t>
            </w:r>
          </w:p>
        </w:tc>
        <w:tc>
          <w:tcPr>
            <w:tcW w:w="1559" w:type="dxa"/>
            <w:tcBorders>
              <w:top w:val="single" w:color="auto" w:sz="4" w:space="0"/>
              <w:left w:val="single" w:color="auto" w:sz="4" w:space="0"/>
              <w:bottom w:val="single" w:color="auto" w:sz="4" w:space="0"/>
              <w:right w:val="nil"/>
            </w:tcBorders>
            <w:vAlign w:val="center"/>
          </w:tcPr>
          <w:p>
            <w:pPr>
              <w:snapToGrid w:val="0"/>
              <w:spacing w:line="360" w:lineRule="exact"/>
              <w:jc w:val="center"/>
              <w:rPr>
                <w:b/>
                <w:color w:val="auto"/>
                <w:kern w:val="0"/>
                <w:sz w:val="28"/>
                <w:szCs w:val="28"/>
              </w:rPr>
            </w:pPr>
            <w:r>
              <w:rPr>
                <w:b/>
                <w:color w:val="auto"/>
                <w:kern w:val="0"/>
                <w:sz w:val="28"/>
                <w:szCs w:val="28"/>
              </w:rPr>
              <w:t>其他专业</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95" w:type="dxa"/>
            <w:vMerge w:val="restart"/>
            <w:tcBorders>
              <w:top w:val="single" w:color="auto" w:sz="4" w:space="0"/>
              <w:left w:val="nil"/>
              <w:bottom w:val="single" w:color="auto" w:sz="4" w:space="0"/>
              <w:right w:val="single" w:color="auto" w:sz="4" w:space="0"/>
            </w:tcBorders>
            <w:vAlign w:val="center"/>
          </w:tcPr>
          <w:p>
            <w:pPr>
              <w:snapToGrid w:val="0"/>
              <w:spacing w:line="550" w:lineRule="exact"/>
              <w:jc w:val="center"/>
              <w:rPr>
                <w:rFonts w:eastAsia="仿宋_GB2312"/>
                <w:color w:val="auto"/>
                <w:kern w:val="0"/>
                <w:sz w:val="30"/>
                <w:szCs w:val="30"/>
              </w:rPr>
            </w:pPr>
            <w:r>
              <w:rPr>
                <w:b/>
                <w:color w:val="auto"/>
                <w:kern w:val="0"/>
                <w:sz w:val="28"/>
                <w:szCs w:val="28"/>
              </w:rPr>
              <w:t>A类</w:t>
            </w:r>
          </w:p>
        </w:tc>
        <w:tc>
          <w:tcPr>
            <w:tcW w:w="1944" w:type="dxa"/>
            <w:tcBorders>
              <w:top w:val="single" w:color="auto" w:sz="4" w:space="0"/>
              <w:left w:val="single" w:color="auto" w:sz="4" w:space="0"/>
              <w:bottom w:val="single" w:color="auto" w:sz="4" w:space="0"/>
              <w:right w:val="single" w:color="auto" w:sz="4" w:space="0"/>
            </w:tcBorders>
            <w:vAlign w:val="top"/>
          </w:tcPr>
          <w:p>
            <w:pPr>
              <w:jc w:val="center"/>
              <w:rPr>
                <w:rFonts w:eastAsia="仿宋_GB2312"/>
                <w:color w:val="auto"/>
                <w:kern w:val="0"/>
                <w:sz w:val="30"/>
                <w:szCs w:val="30"/>
              </w:rPr>
            </w:pPr>
            <w:r>
              <w:rPr>
                <w:rFonts w:eastAsia="仿宋_GB2312"/>
                <w:color w:val="auto"/>
                <w:kern w:val="0"/>
                <w:sz w:val="30"/>
                <w:szCs w:val="30"/>
              </w:rPr>
              <w:t>2015年</w:t>
            </w:r>
          </w:p>
        </w:tc>
        <w:tc>
          <w:tcPr>
            <w:tcW w:w="14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235</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350</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120</w:t>
            </w:r>
          </w:p>
        </w:tc>
        <w:tc>
          <w:tcPr>
            <w:tcW w:w="1559" w:type="dxa"/>
            <w:tcBorders>
              <w:top w:val="single" w:color="auto" w:sz="4" w:space="0"/>
              <w:left w:val="single" w:color="auto" w:sz="4" w:space="0"/>
              <w:bottom w:val="single" w:color="auto" w:sz="4" w:space="0"/>
              <w:right w:val="nil"/>
            </w:tcBorders>
            <w:vAlign w:val="center"/>
          </w:tcPr>
          <w:p>
            <w:pPr>
              <w:jc w:val="center"/>
              <w:rPr>
                <w:rFonts w:eastAsia="仿宋_GB2312"/>
                <w:color w:val="auto"/>
                <w:kern w:val="0"/>
                <w:sz w:val="30"/>
                <w:szCs w:val="30"/>
              </w:rPr>
            </w:pPr>
            <w:r>
              <w:rPr>
                <w:rFonts w:eastAsia="仿宋_GB2312"/>
                <w:color w:val="auto"/>
                <w:kern w:val="0"/>
                <w:sz w:val="30"/>
                <w:szCs w:val="30"/>
              </w:rPr>
              <w:t>175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95"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color w:val="auto"/>
                <w:kern w:val="0"/>
                <w:sz w:val="30"/>
                <w:szCs w:val="30"/>
              </w:rPr>
            </w:pPr>
          </w:p>
        </w:tc>
        <w:tc>
          <w:tcPr>
            <w:tcW w:w="1944" w:type="dxa"/>
            <w:tcBorders>
              <w:top w:val="single" w:color="auto" w:sz="4" w:space="0"/>
              <w:left w:val="single" w:color="auto" w:sz="4" w:space="0"/>
              <w:bottom w:val="single" w:color="auto" w:sz="4" w:space="0"/>
              <w:right w:val="single" w:color="auto" w:sz="4" w:space="0"/>
            </w:tcBorders>
            <w:vAlign w:val="top"/>
          </w:tcPr>
          <w:p>
            <w:pPr>
              <w:jc w:val="center"/>
              <w:rPr>
                <w:rFonts w:eastAsia="仿宋_GB2312"/>
                <w:color w:val="auto"/>
                <w:kern w:val="0"/>
                <w:sz w:val="30"/>
                <w:szCs w:val="30"/>
              </w:rPr>
            </w:pPr>
            <w:r>
              <w:rPr>
                <w:rFonts w:eastAsia="仿宋_GB2312"/>
                <w:color w:val="auto"/>
                <w:kern w:val="0"/>
                <w:sz w:val="30"/>
                <w:szCs w:val="30"/>
              </w:rPr>
              <w:t>2016年</w:t>
            </w:r>
          </w:p>
        </w:tc>
        <w:tc>
          <w:tcPr>
            <w:tcW w:w="14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220</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330</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110</w:t>
            </w:r>
          </w:p>
        </w:tc>
        <w:tc>
          <w:tcPr>
            <w:tcW w:w="1559" w:type="dxa"/>
            <w:tcBorders>
              <w:top w:val="single" w:color="auto" w:sz="4" w:space="0"/>
              <w:left w:val="single" w:color="auto" w:sz="4" w:space="0"/>
              <w:bottom w:val="single" w:color="auto" w:sz="4" w:space="0"/>
              <w:right w:val="nil"/>
            </w:tcBorders>
            <w:vAlign w:val="center"/>
          </w:tcPr>
          <w:p>
            <w:pPr>
              <w:jc w:val="center"/>
              <w:rPr>
                <w:rFonts w:eastAsia="仿宋_GB2312"/>
                <w:color w:val="auto"/>
                <w:kern w:val="0"/>
                <w:sz w:val="30"/>
                <w:szCs w:val="30"/>
              </w:rPr>
            </w:pPr>
            <w:r>
              <w:rPr>
                <w:rFonts w:eastAsia="仿宋_GB2312"/>
                <w:color w:val="auto"/>
                <w:kern w:val="0"/>
                <w:sz w:val="30"/>
                <w:szCs w:val="30"/>
              </w:rPr>
              <w:t>165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95"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color w:val="auto"/>
                <w:kern w:val="0"/>
                <w:sz w:val="30"/>
                <w:szCs w:val="30"/>
              </w:rPr>
            </w:pPr>
          </w:p>
        </w:tc>
        <w:tc>
          <w:tcPr>
            <w:tcW w:w="1944" w:type="dxa"/>
            <w:tcBorders>
              <w:top w:val="single" w:color="auto" w:sz="4" w:space="0"/>
              <w:left w:val="single" w:color="auto" w:sz="4" w:space="0"/>
              <w:bottom w:val="single" w:color="auto" w:sz="4" w:space="0"/>
              <w:right w:val="single" w:color="auto" w:sz="4" w:space="0"/>
            </w:tcBorders>
            <w:vAlign w:val="top"/>
          </w:tcPr>
          <w:p>
            <w:pPr>
              <w:jc w:val="center"/>
              <w:rPr>
                <w:rFonts w:eastAsia="仿宋_GB2312"/>
                <w:color w:val="auto"/>
                <w:kern w:val="0"/>
                <w:sz w:val="30"/>
                <w:szCs w:val="30"/>
              </w:rPr>
            </w:pPr>
            <w:r>
              <w:rPr>
                <w:rFonts w:eastAsia="仿宋_GB2312"/>
                <w:color w:val="auto"/>
                <w:kern w:val="0"/>
                <w:sz w:val="30"/>
                <w:szCs w:val="30"/>
              </w:rPr>
              <w:t>2017年</w:t>
            </w:r>
          </w:p>
        </w:tc>
        <w:tc>
          <w:tcPr>
            <w:tcW w:w="14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220</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330</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110</w:t>
            </w:r>
          </w:p>
        </w:tc>
        <w:tc>
          <w:tcPr>
            <w:tcW w:w="1559" w:type="dxa"/>
            <w:tcBorders>
              <w:top w:val="single" w:color="auto" w:sz="4" w:space="0"/>
              <w:left w:val="single" w:color="auto" w:sz="4" w:space="0"/>
              <w:bottom w:val="single" w:color="auto" w:sz="4" w:space="0"/>
              <w:right w:val="nil"/>
            </w:tcBorders>
            <w:vAlign w:val="center"/>
          </w:tcPr>
          <w:p>
            <w:pPr>
              <w:jc w:val="center"/>
              <w:rPr>
                <w:rFonts w:eastAsia="仿宋_GB2312"/>
                <w:color w:val="auto"/>
                <w:kern w:val="0"/>
                <w:sz w:val="30"/>
                <w:szCs w:val="30"/>
              </w:rPr>
            </w:pPr>
            <w:r>
              <w:rPr>
                <w:rFonts w:eastAsia="仿宋_GB2312"/>
                <w:color w:val="auto"/>
                <w:kern w:val="0"/>
                <w:sz w:val="30"/>
                <w:szCs w:val="30"/>
              </w:rPr>
              <w:t>165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95"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color w:val="auto"/>
                <w:kern w:val="0"/>
                <w:sz w:val="30"/>
                <w:szCs w:val="30"/>
              </w:rPr>
            </w:pPr>
          </w:p>
        </w:tc>
        <w:tc>
          <w:tcPr>
            <w:tcW w:w="1944" w:type="dxa"/>
            <w:tcBorders>
              <w:top w:val="single" w:color="auto" w:sz="4" w:space="0"/>
              <w:left w:val="single" w:color="auto" w:sz="4" w:space="0"/>
              <w:bottom w:val="single" w:color="auto" w:sz="4" w:space="0"/>
              <w:right w:val="single" w:color="auto" w:sz="4" w:space="0"/>
            </w:tcBorders>
            <w:vAlign w:val="top"/>
          </w:tcPr>
          <w:p>
            <w:pPr>
              <w:jc w:val="center"/>
              <w:rPr>
                <w:rFonts w:eastAsia="仿宋_GB2312"/>
                <w:color w:val="auto"/>
                <w:kern w:val="0"/>
                <w:sz w:val="30"/>
                <w:szCs w:val="30"/>
              </w:rPr>
            </w:pPr>
            <w:r>
              <w:rPr>
                <w:rFonts w:eastAsia="仿宋_GB2312"/>
                <w:color w:val="auto"/>
                <w:kern w:val="0"/>
                <w:sz w:val="30"/>
                <w:szCs w:val="30"/>
              </w:rPr>
              <w:t>201</w:t>
            </w:r>
            <w:r>
              <w:rPr>
                <w:rFonts w:hint="eastAsia" w:eastAsia="仿宋_GB2312"/>
                <w:color w:val="auto"/>
                <w:kern w:val="0"/>
                <w:sz w:val="30"/>
                <w:szCs w:val="30"/>
              </w:rPr>
              <w:t>8</w:t>
            </w:r>
            <w:r>
              <w:rPr>
                <w:rFonts w:eastAsia="仿宋_GB2312"/>
                <w:color w:val="auto"/>
                <w:kern w:val="0"/>
                <w:sz w:val="30"/>
                <w:szCs w:val="30"/>
              </w:rPr>
              <w:t>年</w:t>
            </w:r>
          </w:p>
        </w:tc>
        <w:tc>
          <w:tcPr>
            <w:tcW w:w="14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220</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330</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110</w:t>
            </w:r>
          </w:p>
        </w:tc>
        <w:tc>
          <w:tcPr>
            <w:tcW w:w="1559" w:type="dxa"/>
            <w:tcBorders>
              <w:top w:val="single" w:color="auto" w:sz="4" w:space="0"/>
              <w:left w:val="single" w:color="auto" w:sz="4" w:space="0"/>
              <w:bottom w:val="single" w:color="auto" w:sz="4" w:space="0"/>
              <w:right w:val="nil"/>
            </w:tcBorders>
            <w:vAlign w:val="center"/>
          </w:tcPr>
          <w:p>
            <w:pPr>
              <w:jc w:val="center"/>
              <w:rPr>
                <w:rFonts w:eastAsia="仿宋_GB2312"/>
                <w:color w:val="auto"/>
                <w:kern w:val="0"/>
                <w:sz w:val="30"/>
                <w:szCs w:val="30"/>
              </w:rPr>
            </w:pPr>
            <w:r>
              <w:rPr>
                <w:rFonts w:eastAsia="仿宋_GB2312"/>
                <w:color w:val="auto"/>
                <w:kern w:val="0"/>
                <w:sz w:val="30"/>
                <w:szCs w:val="30"/>
              </w:rPr>
              <w:t>165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95"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color w:val="auto"/>
                <w:kern w:val="0"/>
                <w:sz w:val="30"/>
                <w:szCs w:val="30"/>
              </w:rPr>
            </w:pPr>
          </w:p>
        </w:tc>
        <w:tc>
          <w:tcPr>
            <w:tcW w:w="1944" w:type="dxa"/>
            <w:tcBorders>
              <w:top w:val="single" w:color="auto" w:sz="4" w:space="0"/>
              <w:left w:val="single" w:color="auto" w:sz="4" w:space="0"/>
              <w:bottom w:val="single" w:color="auto" w:sz="4" w:space="0"/>
              <w:right w:val="single" w:color="auto" w:sz="4" w:space="0"/>
            </w:tcBorders>
            <w:vAlign w:val="top"/>
          </w:tcPr>
          <w:p>
            <w:pPr>
              <w:jc w:val="right"/>
              <w:rPr>
                <w:rFonts w:eastAsia="仿宋_GB2312"/>
                <w:b/>
                <w:color w:val="auto"/>
                <w:kern w:val="0"/>
                <w:sz w:val="30"/>
                <w:szCs w:val="30"/>
              </w:rPr>
            </w:pPr>
            <w:r>
              <w:rPr>
                <w:rFonts w:eastAsia="仿宋_GB2312"/>
                <w:b/>
                <w:color w:val="auto"/>
                <w:kern w:val="0"/>
                <w:sz w:val="30"/>
                <w:szCs w:val="30"/>
              </w:rPr>
              <w:t>合计</w:t>
            </w:r>
          </w:p>
        </w:tc>
        <w:tc>
          <w:tcPr>
            <w:tcW w:w="1480" w:type="dxa"/>
            <w:tcBorders>
              <w:top w:val="single" w:color="auto" w:sz="4" w:space="0"/>
              <w:left w:val="single" w:color="auto" w:sz="4" w:space="0"/>
              <w:bottom w:val="single" w:color="auto" w:sz="4" w:space="0"/>
              <w:right w:val="single" w:color="auto" w:sz="4" w:space="0"/>
            </w:tcBorders>
            <w:vAlign w:val="center"/>
          </w:tcPr>
          <w:p>
            <w:pPr>
              <w:jc w:val="right"/>
              <w:rPr>
                <w:rFonts w:eastAsia="仿宋_GB2312"/>
                <w:b/>
                <w:color w:val="auto"/>
                <w:kern w:val="0"/>
                <w:sz w:val="30"/>
                <w:szCs w:val="30"/>
              </w:rPr>
            </w:pPr>
            <w:r>
              <w:rPr>
                <w:rFonts w:hint="eastAsia" w:eastAsia="仿宋_GB2312"/>
                <w:b/>
                <w:color w:val="auto"/>
                <w:kern w:val="0"/>
                <w:sz w:val="30"/>
                <w:szCs w:val="30"/>
              </w:rPr>
              <w:t>895</w:t>
            </w:r>
          </w:p>
        </w:tc>
        <w:tc>
          <w:tcPr>
            <w:tcW w:w="1559" w:type="dxa"/>
            <w:tcBorders>
              <w:top w:val="single" w:color="auto" w:sz="4" w:space="0"/>
              <w:left w:val="single" w:color="auto" w:sz="4" w:space="0"/>
              <w:bottom w:val="single" w:color="auto" w:sz="4" w:space="0"/>
              <w:right w:val="single" w:color="auto" w:sz="4" w:space="0"/>
            </w:tcBorders>
            <w:vAlign w:val="center"/>
          </w:tcPr>
          <w:p>
            <w:pPr>
              <w:jc w:val="right"/>
              <w:rPr>
                <w:rFonts w:eastAsia="仿宋_GB2312"/>
                <w:b/>
                <w:color w:val="auto"/>
                <w:kern w:val="0"/>
                <w:sz w:val="30"/>
                <w:szCs w:val="30"/>
              </w:rPr>
            </w:pPr>
            <w:r>
              <w:rPr>
                <w:rFonts w:hint="eastAsia" w:eastAsia="仿宋_GB2312"/>
                <w:b/>
                <w:color w:val="auto"/>
                <w:kern w:val="0"/>
                <w:sz w:val="30"/>
                <w:szCs w:val="30"/>
              </w:rPr>
              <w:t>1340</w:t>
            </w:r>
          </w:p>
        </w:tc>
        <w:tc>
          <w:tcPr>
            <w:tcW w:w="1276" w:type="dxa"/>
            <w:tcBorders>
              <w:top w:val="single" w:color="auto" w:sz="4" w:space="0"/>
              <w:left w:val="single" w:color="auto" w:sz="4" w:space="0"/>
              <w:bottom w:val="single" w:color="auto" w:sz="4" w:space="0"/>
              <w:right w:val="single" w:color="auto" w:sz="4" w:space="0"/>
            </w:tcBorders>
            <w:vAlign w:val="center"/>
          </w:tcPr>
          <w:p>
            <w:pPr>
              <w:jc w:val="right"/>
              <w:rPr>
                <w:rFonts w:eastAsia="仿宋_GB2312"/>
                <w:b/>
                <w:color w:val="auto"/>
                <w:kern w:val="0"/>
                <w:sz w:val="30"/>
                <w:szCs w:val="30"/>
              </w:rPr>
            </w:pPr>
            <w:r>
              <w:rPr>
                <w:rFonts w:hint="eastAsia" w:eastAsia="仿宋_GB2312"/>
                <w:b/>
                <w:color w:val="auto"/>
                <w:kern w:val="0"/>
                <w:sz w:val="30"/>
                <w:szCs w:val="30"/>
              </w:rPr>
              <w:t>450</w:t>
            </w:r>
          </w:p>
        </w:tc>
        <w:tc>
          <w:tcPr>
            <w:tcW w:w="1559" w:type="dxa"/>
            <w:tcBorders>
              <w:top w:val="single" w:color="auto" w:sz="4" w:space="0"/>
              <w:left w:val="single" w:color="auto" w:sz="4" w:space="0"/>
              <w:bottom w:val="single" w:color="auto" w:sz="4" w:space="0"/>
              <w:right w:val="nil"/>
            </w:tcBorders>
            <w:vAlign w:val="center"/>
          </w:tcPr>
          <w:p>
            <w:pPr>
              <w:jc w:val="right"/>
              <w:rPr>
                <w:rFonts w:eastAsia="仿宋_GB2312"/>
                <w:b/>
                <w:color w:val="auto"/>
                <w:kern w:val="0"/>
                <w:sz w:val="30"/>
                <w:szCs w:val="30"/>
              </w:rPr>
            </w:pPr>
            <w:r>
              <w:rPr>
                <w:rFonts w:hint="eastAsia" w:eastAsia="仿宋_GB2312"/>
                <w:b/>
                <w:color w:val="auto"/>
                <w:kern w:val="0"/>
                <w:sz w:val="30"/>
                <w:szCs w:val="30"/>
              </w:rPr>
              <w:t>670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95" w:type="dxa"/>
            <w:vMerge w:val="restart"/>
            <w:tcBorders>
              <w:top w:val="single" w:color="auto" w:sz="4" w:space="0"/>
              <w:left w:val="nil"/>
              <w:bottom w:val="single" w:color="auto" w:sz="4" w:space="0"/>
              <w:right w:val="single" w:color="auto" w:sz="4" w:space="0"/>
            </w:tcBorders>
            <w:vAlign w:val="center"/>
          </w:tcPr>
          <w:p>
            <w:pPr>
              <w:snapToGrid w:val="0"/>
              <w:spacing w:line="550" w:lineRule="exact"/>
              <w:jc w:val="center"/>
              <w:rPr>
                <w:b/>
                <w:color w:val="auto"/>
                <w:kern w:val="0"/>
                <w:sz w:val="28"/>
                <w:szCs w:val="28"/>
              </w:rPr>
            </w:pPr>
            <w:r>
              <w:rPr>
                <w:b/>
                <w:color w:val="auto"/>
                <w:kern w:val="0"/>
                <w:sz w:val="28"/>
                <w:szCs w:val="28"/>
              </w:rPr>
              <w:t>B类</w:t>
            </w:r>
          </w:p>
        </w:tc>
        <w:tc>
          <w:tcPr>
            <w:tcW w:w="1944" w:type="dxa"/>
            <w:tcBorders>
              <w:top w:val="single" w:color="auto" w:sz="4" w:space="0"/>
              <w:left w:val="single" w:color="auto" w:sz="4" w:space="0"/>
              <w:bottom w:val="single" w:color="auto" w:sz="4" w:space="0"/>
              <w:right w:val="single" w:color="auto" w:sz="4" w:space="0"/>
            </w:tcBorders>
            <w:vAlign w:val="top"/>
          </w:tcPr>
          <w:p>
            <w:pPr>
              <w:jc w:val="center"/>
              <w:rPr>
                <w:rFonts w:eastAsia="仿宋_GB2312"/>
                <w:color w:val="auto"/>
                <w:kern w:val="0"/>
                <w:sz w:val="30"/>
                <w:szCs w:val="30"/>
              </w:rPr>
            </w:pPr>
            <w:r>
              <w:rPr>
                <w:rFonts w:eastAsia="仿宋_GB2312"/>
                <w:color w:val="auto"/>
                <w:kern w:val="0"/>
                <w:sz w:val="30"/>
                <w:szCs w:val="30"/>
              </w:rPr>
              <w:t>2015年</w:t>
            </w:r>
          </w:p>
        </w:tc>
        <w:tc>
          <w:tcPr>
            <w:tcW w:w="14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165</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245</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80</w:t>
            </w:r>
          </w:p>
        </w:tc>
        <w:tc>
          <w:tcPr>
            <w:tcW w:w="1559" w:type="dxa"/>
            <w:tcBorders>
              <w:top w:val="single" w:color="auto" w:sz="4" w:space="0"/>
              <w:left w:val="single" w:color="auto" w:sz="4" w:space="0"/>
              <w:bottom w:val="single" w:color="auto" w:sz="4" w:space="0"/>
              <w:right w:val="nil"/>
            </w:tcBorders>
            <w:vAlign w:val="center"/>
          </w:tcPr>
          <w:p>
            <w:pPr>
              <w:jc w:val="center"/>
              <w:rPr>
                <w:rFonts w:eastAsia="仿宋_GB2312"/>
                <w:color w:val="auto"/>
                <w:kern w:val="0"/>
                <w:sz w:val="30"/>
                <w:szCs w:val="30"/>
              </w:rPr>
            </w:pPr>
            <w:r>
              <w:rPr>
                <w:rFonts w:eastAsia="仿宋_GB2312"/>
                <w:color w:val="auto"/>
                <w:kern w:val="0"/>
                <w:sz w:val="30"/>
                <w:szCs w:val="30"/>
              </w:rPr>
              <w:t>125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95" w:type="dxa"/>
            <w:vMerge w:val="continue"/>
            <w:tcBorders>
              <w:top w:val="single" w:color="auto" w:sz="4" w:space="0"/>
              <w:left w:val="nil"/>
              <w:bottom w:val="single" w:color="auto" w:sz="4" w:space="0"/>
              <w:right w:val="single" w:color="auto" w:sz="4" w:space="0"/>
            </w:tcBorders>
            <w:vAlign w:val="center"/>
          </w:tcPr>
          <w:p>
            <w:pPr>
              <w:widowControl/>
              <w:jc w:val="left"/>
              <w:rPr>
                <w:b/>
                <w:color w:val="auto"/>
                <w:kern w:val="0"/>
                <w:sz w:val="28"/>
                <w:szCs w:val="28"/>
              </w:rPr>
            </w:pPr>
          </w:p>
        </w:tc>
        <w:tc>
          <w:tcPr>
            <w:tcW w:w="1944" w:type="dxa"/>
            <w:tcBorders>
              <w:top w:val="single" w:color="auto" w:sz="4" w:space="0"/>
              <w:left w:val="single" w:color="auto" w:sz="4" w:space="0"/>
              <w:bottom w:val="single" w:color="auto" w:sz="4" w:space="0"/>
              <w:right w:val="single" w:color="auto" w:sz="4" w:space="0"/>
            </w:tcBorders>
            <w:vAlign w:val="top"/>
          </w:tcPr>
          <w:p>
            <w:pPr>
              <w:jc w:val="center"/>
              <w:rPr>
                <w:rFonts w:eastAsia="仿宋_GB2312"/>
                <w:color w:val="auto"/>
                <w:kern w:val="0"/>
                <w:sz w:val="30"/>
                <w:szCs w:val="30"/>
              </w:rPr>
            </w:pPr>
            <w:r>
              <w:rPr>
                <w:rFonts w:eastAsia="仿宋_GB2312"/>
                <w:color w:val="auto"/>
                <w:kern w:val="0"/>
                <w:sz w:val="30"/>
                <w:szCs w:val="30"/>
              </w:rPr>
              <w:t>2016年</w:t>
            </w:r>
          </w:p>
        </w:tc>
        <w:tc>
          <w:tcPr>
            <w:tcW w:w="14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160</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235</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75</w:t>
            </w:r>
          </w:p>
        </w:tc>
        <w:tc>
          <w:tcPr>
            <w:tcW w:w="1559" w:type="dxa"/>
            <w:tcBorders>
              <w:top w:val="single" w:color="auto" w:sz="4" w:space="0"/>
              <w:left w:val="single" w:color="auto" w:sz="4" w:space="0"/>
              <w:bottom w:val="single" w:color="auto" w:sz="4" w:space="0"/>
              <w:right w:val="nil"/>
            </w:tcBorders>
            <w:vAlign w:val="center"/>
          </w:tcPr>
          <w:p>
            <w:pPr>
              <w:jc w:val="center"/>
              <w:rPr>
                <w:rFonts w:eastAsia="仿宋_GB2312"/>
                <w:color w:val="auto"/>
                <w:kern w:val="0"/>
                <w:sz w:val="30"/>
                <w:szCs w:val="30"/>
              </w:rPr>
            </w:pPr>
            <w:r>
              <w:rPr>
                <w:rFonts w:eastAsia="仿宋_GB2312"/>
                <w:color w:val="auto"/>
                <w:kern w:val="0"/>
                <w:sz w:val="30"/>
                <w:szCs w:val="30"/>
              </w:rPr>
              <w:t>120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95" w:type="dxa"/>
            <w:vMerge w:val="continue"/>
            <w:tcBorders>
              <w:top w:val="single" w:color="auto" w:sz="4" w:space="0"/>
              <w:left w:val="nil"/>
              <w:bottom w:val="single" w:color="auto" w:sz="4" w:space="0"/>
              <w:right w:val="single" w:color="auto" w:sz="4" w:space="0"/>
            </w:tcBorders>
            <w:vAlign w:val="center"/>
          </w:tcPr>
          <w:p>
            <w:pPr>
              <w:widowControl/>
              <w:jc w:val="left"/>
              <w:rPr>
                <w:b/>
                <w:color w:val="auto"/>
                <w:kern w:val="0"/>
                <w:sz w:val="28"/>
                <w:szCs w:val="28"/>
              </w:rPr>
            </w:pPr>
          </w:p>
        </w:tc>
        <w:tc>
          <w:tcPr>
            <w:tcW w:w="1944" w:type="dxa"/>
            <w:tcBorders>
              <w:top w:val="single" w:color="auto" w:sz="4" w:space="0"/>
              <w:left w:val="single" w:color="auto" w:sz="4" w:space="0"/>
              <w:bottom w:val="single" w:color="auto" w:sz="4" w:space="0"/>
              <w:right w:val="single" w:color="auto" w:sz="4" w:space="0"/>
            </w:tcBorders>
            <w:vAlign w:val="top"/>
          </w:tcPr>
          <w:p>
            <w:pPr>
              <w:jc w:val="center"/>
              <w:rPr>
                <w:rFonts w:eastAsia="仿宋_GB2312"/>
                <w:color w:val="auto"/>
                <w:kern w:val="0"/>
                <w:sz w:val="30"/>
                <w:szCs w:val="30"/>
              </w:rPr>
            </w:pPr>
            <w:r>
              <w:rPr>
                <w:rFonts w:eastAsia="仿宋_GB2312"/>
                <w:color w:val="auto"/>
                <w:kern w:val="0"/>
                <w:sz w:val="30"/>
                <w:szCs w:val="30"/>
              </w:rPr>
              <w:t>2017年</w:t>
            </w:r>
          </w:p>
        </w:tc>
        <w:tc>
          <w:tcPr>
            <w:tcW w:w="14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160</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235</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75</w:t>
            </w:r>
          </w:p>
        </w:tc>
        <w:tc>
          <w:tcPr>
            <w:tcW w:w="1559" w:type="dxa"/>
            <w:tcBorders>
              <w:top w:val="single" w:color="auto" w:sz="4" w:space="0"/>
              <w:left w:val="single" w:color="auto" w:sz="4" w:space="0"/>
              <w:bottom w:val="single" w:color="auto" w:sz="4" w:space="0"/>
              <w:right w:val="nil"/>
            </w:tcBorders>
            <w:vAlign w:val="center"/>
          </w:tcPr>
          <w:p>
            <w:pPr>
              <w:jc w:val="center"/>
              <w:rPr>
                <w:rFonts w:eastAsia="仿宋_GB2312"/>
                <w:color w:val="auto"/>
                <w:kern w:val="0"/>
                <w:sz w:val="30"/>
                <w:szCs w:val="30"/>
              </w:rPr>
            </w:pPr>
            <w:r>
              <w:rPr>
                <w:rFonts w:eastAsia="仿宋_GB2312"/>
                <w:color w:val="auto"/>
                <w:kern w:val="0"/>
                <w:sz w:val="30"/>
                <w:szCs w:val="30"/>
              </w:rPr>
              <w:t>120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95" w:type="dxa"/>
            <w:vMerge w:val="continue"/>
            <w:tcBorders>
              <w:top w:val="single" w:color="auto" w:sz="4" w:space="0"/>
              <w:left w:val="nil"/>
              <w:bottom w:val="single" w:color="auto" w:sz="4" w:space="0"/>
              <w:right w:val="single" w:color="auto" w:sz="4" w:space="0"/>
            </w:tcBorders>
            <w:vAlign w:val="center"/>
          </w:tcPr>
          <w:p>
            <w:pPr>
              <w:widowControl/>
              <w:jc w:val="left"/>
              <w:rPr>
                <w:b/>
                <w:color w:val="auto"/>
                <w:kern w:val="0"/>
                <w:sz w:val="28"/>
                <w:szCs w:val="28"/>
              </w:rPr>
            </w:pPr>
          </w:p>
        </w:tc>
        <w:tc>
          <w:tcPr>
            <w:tcW w:w="1944" w:type="dxa"/>
            <w:tcBorders>
              <w:top w:val="single" w:color="auto" w:sz="4" w:space="0"/>
              <w:left w:val="single" w:color="auto" w:sz="4" w:space="0"/>
              <w:bottom w:val="single" w:color="auto" w:sz="4" w:space="0"/>
              <w:right w:val="single" w:color="auto" w:sz="4" w:space="0"/>
            </w:tcBorders>
            <w:vAlign w:val="top"/>
          </w:tcPr>
          <w:p>
            <w:pPr>
              <w:jc w:val="center"/>
              <w:rPr>
                <w:rFonts w:eastAsia="仿宋_GB2312"/>
                <w:color w:val="auto"/>
                <w:kern w:val="0"/>
                <w:sz w:val="30"/>
                <w:szCs w:val="30"/>
              </w:rPr>
            </w:pPr>
            <w:r>
              <w:rPr>
                <w:rFonts w:eastAsia="仿宋_GB2312"/>
                <w:color w:val="auto"/>
                <w:kern w:val="0"/>
                <w:sz w:val="30"/>
                <w:szCs w:val="30"/>
              </w:rPr>
              <w:t>201</w:t>
            </w:r>
            <w:r>
              <w:rPr>
                <w:rFonts w:hint="eastAsia" w:eastAsia="仿宋_GB2312"/>
                <w:color w:val="auto"/>
                <w:kern w:val="0"/>
                <w:sz w:val="30"/>
                <w:szCs w:val="30"/>
              </w:rPr>
              <w:t>8</w:t>
            </w:r>
            <w:r>
              <w:rPr>
                <w:rFonts w:eastAsia="仿宋_GB2312"/>
                <w:color w:val="auto"/>
                <w:kern w:val="0"/>
                <w:sz w:val="30"/>
                <w:szCs w:val="30"/>
              </w:rPr>
              <w:t>年</w:t>
            </w:r>
          </w:p>
        </w:tc>
        <w:tc>
          <w:tcPr>
            <w:tcW w:w="14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160</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235</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75</w:t>
            </w:r>
          </w:p>
        </w:tc>
        <w:tc>
          <w:tcPr>
            <w:tcW w:w="1559" w:type="dxa"/>
            <w:tcBorders>
              <w:top w:val="single" w:color="auto" w:sz="4" w:space="0"/>
              <w:left w:val="single" w:color="auto" w:sz="4" w:space="0"/>
              <w:bottom w:val="single" w:color="auto" w:sz="4" w:space="0"/>
              <w:right w:val="nil"/>
            </w:tcBorders>
            <w:vAlign w:val="center"/>
          </w:tcPr>
          <w:p>
            <w:pPr>
              <w:jc w:val="center"/>
              <w:rPr>
                <w:rFonts w:eastAsia="仿宋_GB2312"/>
                <w:color w:val="auto"/>
                <w:kern w:val="0"/>
                <w:sz w:val="30"/>
                <w:szCs w:val="30"/>
              </w:rPr>
            </w:pPr>
            <w:r>
              <w:rPr>
                <w:rFonts w:eastAsia="仿宋_GB2312"/>
                <w:color w:val="auto"/>
                <w:kern w:val="0"/>
                <w:sz w:val="30"/>
                <w:szCs w:val="30"/>
              </w:rPr>
              <w:t>120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95" w:type="dxa"/>
            <w:vMerge w:val="continue"/>
            <w:tcBorders>
              <w:top w:val="single" w:color="auto" w:sz="4" w:space="0"/>
              <w:left w:val="nil"/>
              <w:bottom w:val="single" w:color="auto" w:sz="4" w:space="0"/>
              <w:right w:val="single" w:color="auto" w:sz="4" w:space="0"/>
            </w:tcBorders>
            <w:vAlign w:val="center"/>
          </w:tcPr>
          <w:p>
            <w:pPr>
              <w:widowControl/>
              <w:jc w:val="left"/>
              <w:rPr>
                <w:b/>
                <w:color w:val="auto"/>
                <w:kern w:val="0"/>
                <w:sz w:val="28"/>
                <w:szCs w:val="28"/>
              </w:rPr>
            </w:pPr>
          </w:p>
        </w:tc>
        <w:tc>
          <w:tcPr>
            <w:tcW w:w="1944" w:type="dxa"/>
            <w:tcBorders>
              <w:top w:val="single" w:color="auto" w:sz="4" w:space="0"/>
              <w:left w:val="single" w:color="auto" w:sz="4" w:space="0"/>
              <w:bottom w:val="single" w:color="auto" w:sz="4" w:space="0"/>
              <w:right w:val="single" w:color="auto" w:sz="4" w:space="0"/>
            </w:tcBorders>
            <w:vAlign w:val="top"/>
          </w:tcPr>
          <w:p>
            <w:pPr>
              <w:jc w:val="right"/>
              <w:rPr>
                <w:rFonts w:eastAsia="仿宋_GB2312"/>
                <w:b/>
                <w:color w:val="auto"/>
                <w:kern w:val="0"/>
                <w:sz w:val="30"/>
                <w:szCs w:val="30"/>
              </w:rPr>
            </w:pPr>
            <w:r>
              <w:rPr>
                <w:rFonts w:eastAsia="仿宋_GB2312"/>
                <w:b/>
                <w:color w:val="auto"/>
                <w:kern w:val="0"/>
                <w:sz w:val="30"/>
                <w:szCs w:val="30"/>
              </w:rPr>
              <w:t>合计</w:t>
            </w:r>
          </w:p>
        </w:tc>
        <w:tc>
          <w:tcPr>
            <w:tcW w:w="1480" w:type="dxa"/>
            <w:tcBorders>
              <w:top w:val="single" w:color="auto" w:sz="4" w:space="0"/>
              <w:left w:val="single" w:color="auto" w:sz="4" w:space="0"/>
              <w:bottom w:val="single" w:color="auto" w:sz="4" w:space="0"/>
              <w:right w:val="single" w:color="auto" w:sz="4" w:space="0"/>
            </w:tcBorders>
            <w:vAlign w:val="center"/>
          </w:tcPr>
          <w:p>
            <w:pPr>
              <w:jc w:val="right"/>
              <w:rPr>
                <w:rFonts w:eastAsia="仿宋_GB2312"/>
                <w:b/>
                <w:color w:val="auto"/>
                <w:kern w:val="0"/>
                <w:sz w:val="30"/>
                <w:szCs w:val="30"/>
              </w:rPr>
            </w:pPr>
            <w:r>
              <w:rPr>
                <w:rFonts w:hint="eastAsia" w:eastAsia="仿宋_GB2312"/>
                <w:b/>
                <w:color w:val="auto"/>
                <w:kern w:val="0"/>
                <w:sz w:val="30"/>
                <w:szCs w:val="30"/>
              </w:rPr>
              <w:t>645</w:t>
            </w:r>
          </w:p>
        </w:tc>
        <w:tc>
          <w:tcPr>
            <w:tcW w:w="1559" w:type="dxa"/>
            <w:tcBorders>
              <w:top w:val="single" w:color="auto" w:sz="4" w:space="0"/>
              <w:left w:val="single" w:color="auto" w:sz="4" w:space="0"/>
              <w:bottom w:val="single" w:color="auto" w:sz="4" w:space="0"/>
              <w:right w:val="single" w:color="auto" w:sz="4" w:space="0"/>
            </w:tcBorders>
            <w:vAlign w:val="center"/>
          </w:tcPr>
          <w:p>
            <w:pPr>
              <w:jc w:val="right"/>
              <w:rPr>
                <w:rFonts w:eastAsia="仿宋_GB2312"/>
                <w:b/>
                <w:color w:val="auto"/>
                <w:kern w:val="0"/>
                <w:sz w:val="30"/>
                <w:szCs w:val="30"/>
              </w:rPr>
            </w:pPr>
            <w:r>
              <w:rPr>
                <w:rFonts w:hint="eastAsia" w:eastAsia="仿宋_GB2312"/>
                <w:b/>
                <w:color w:val="auto"/>
                <w:kern w:val="0"/>
                <w:sz w:val="30"/>
                <w:szCs w:val="30"/>
              </w:rPr>
              <w:t>950</w:t>
            </w:r>
          </w:p>
        </w:tc>
        <w:tc>
          <w:tcPr>
            <w:tcW w:w="1276" w:type="dxa"/>
            <w:tcBorders>
              <w:top w:val="single" w:color="auto" w:sz="4" w:space="0"/>
              <w:left w:val="single" w:color="auto" w:sz="4" w:space="0"/>
              <w:bottom w:val="single" w:color="auto" w:sz="4" w:space="0"/>
              <w:right w:val="single" w:color="auto" w:sz="4" w:space="0"/>
            </w:tcBorders>
            <w:vAlign w:val="center"/>
          </w:tcPr>
          <w:p>
            <w:pPr>
              <w:jc w:val="right"/>
              <w:rPr>
                <w:rFonts w:eastAsia="仿宋_GB2312"/>
                <w:b/>
                <w:color w:val="auto"/>
                <w:kern w:val="0"/>
                <w:sz w:val="30"/>
                <w:szCs w:val="30"/>
              </w:rPr>
            </w:pPr>
            <w:r>
              <w:rPr>
                <w:rFonts w:hint="eastAsia" w:eastAsia="仿宋_GB2312"/>
                <w:b/>
                <w:color w:val="auto"/>
                <w:kern w:val="0"/>
                <w:sz w:val="30"/>
                <w:szCs w:val="30"/>
              </w:rPr>
              <w:t>305</w:t>
            </w:r>
          </w:p>
        </w:tc>
        <w:tc>
          <w:tcPr>
            <w:tcW w:w="1559" w:type="dxa"/>
            <w:tcBorders>
              <w:top w:val="single" w:color="auto" w:sz="4" w:space="0"/>
              <w:left w:val="single" w:color="auto" w:sz="4" w:space="0"/>
              <w:bottom w:val="single" w:color="auto" w:sz="4" w:space="0"/>
              <w:right w:val="nil"/>
            </w:tcBorders>
            <w:vAlign w:val="center"/>
          </w:tcPr>
          <w:p>
            <w:pPr>
              <w:jc w:val="right"/>
              <w:rPr>
                <w:rFonts w:eastAsia="仿宋_GB2312"/>
                <w:b/>
                <w:color w:val="auto"/>
                <w:kern w:val="0"/>
                <w:sz w:val="30"/>
                <w:szCs w:val="30"/>
              </w:rPr>
            </w:pPr>
            <w:r>
              <w:rPr>
                <w:rFonts w:hint="eastAsia" w:eastAsia="仿宋_GB2312"/>
                <w:b/>
                <w:color w:val="auto"/>
                <w:kern w:val="0"/>
                <w:sz w:val="30"/>
                <w:szCs w:val="30"/>
              </w:rPr>
              <w:t>485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95" w:type="dxa"/>
            <w:vMerge w:val="restart"/>
            <w:tcBorders>
              <w:top w:val="single" w:color="auto" w:sz="4" w:space="0"/>
              <w:left w:val="nil"/>
              <w:bottom w:val="single" w:color="auto" w:sz="4" w:space="0"/>
              <w:right w:val="single" w:color="auto" w:sz="4" w:space="0"/>
            </w:tcBorders>
            <w:vAlign w:val="center"/>
          </w:tcPr>
          <w:p>
            <w:pPr>
              <w:snapToGrid w:val="0"/>
              <w:spacing w:line="550" w:lineRule="exact"/>
              <w:jc w:val="center"/>
              <w:rPr>
                <w:b/>
                <w:color w:val="auto"/>
                <w:kern w:val="0"/>
                <w:sz w:val="28"/>
                <w:szCs w:val="28"/>
              </w:rPr>
            </w:pPr>
            <w:r>
              <w:rPr>
                <w:b/>
                <w:color w:val="auto"/>
                <w:kern w:val="0"/>
                <w:sz w:val="28"/>
                <w:szCs w:val="28"/>
              </w:rPr>
              <w:t>C类</w:t>
            </w:r>
          </w:p>
        </w:tc>
        <w:tc>
          <w:tcPr>
            <w:tcW w:w="1944" w:type="dxa"/>
            <w:tcBorders>
              <w:top w:val="single" w:color="auto" w:sz="4" w:space="0"/>
              <w:left w:val="single" w:color="auto" w:sz="4" w:space="0"/>
              <w:bottom w:val="single" w:color="auto" w:sz="4" w:space="0"/>
              <w:right w:val="single" w:color="auto" w:sz="4" w:space="0"/>
            </w:tcBorders>
            <w:vAlign w:val="top"/>
          </w:tcPr>
          <w:p>
            <w:pPr>
              <w:jc w:val="center"/>
              <w:rPr>
                <w:rFonts w:eastAsia="仿宋_GB2312"/>
                <w:color w:val="auto"/>
                <w:kern w:val="0"/>
                <w:sz w:val="30"/>
                <w:szCs w:val="30"/>
              </w:rPr>
            </w:pPr>
            <w:r>
              <w:rPr>
                <w:rFonts w:eastAsia="仿宋_GB2312"/>
                <w:color w:val="auto"/>
                <w:kern w:val="0"/>
                <w:sz w:val="30"/>
                <w:szCs w:val="30"/>
              </w:rPr>
              <w:t>2015年</w:t>
            </w:r>
          </w:p>
        </w:tc>
        <w:tc>
          <w:tcPr>
            <w:tcW w:w="14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50</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50</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50</w:t>
            </w:r>
          </w:p>
        </w:tc>
        <w:tc>
          <w:tcPr>
            <w:tcW w:w="1559" w:type="dxa"/>
            <w:tcBorders>
              <w:top w:val="single" w:color="auto" w:sz="4" w:space="0"/>
              <w:left w:val="single" w:color="auto" w:sz="4" w:space="0"/>
              <w:bottom w:val="single" w:color="auto" w:sz="4" w:space="0"/>
              <w:right w:val="nil"/>
            </w:tcBorders>
            <w:vAlign w:val="center"/>
          </w:tcPr>
          <w:p>
            <w:pPr>
              <w:jc w:val="center"/>
              <w:rPr>
                <w:rFonts w:eastAsia="仿宋_GB2312"/>
                <w:color w:val="auto"/>
                <w:kern w:val="0"/>
                <w:sz w:val="30"/>
                <w:szCs w:val="30"/>
              </w:rPr>
            </w:pPr>
            <w:r>
              <w:rPr>
                <w:rFonts w:eastAsia="仿宋_GB2312"/>
                <w:color w:val="auto"/>
                <w:kern w:val="0"/>
                <w:sz w:val="30"/>
                <w:szCs w:val="30"/>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95" w:type="dxa"/>
            <w:vMerge w:val="continue"/>
            <w:tcBorders>
              <w:top w:val="single" w:color="auto" w:sz="4" w:space="0"/>
              <w:left w:val="nil"/>
              <w:bottom w:val="single" w:color="auto" w:sz="4" w:space="0"/>
              <w:right w:val="single" w:color="auto" w:sz="4" w:space="0"/>
            </w:tcBorders>
            <w:vAlign w:val="center"/>
          </w:tcPr>
          <w:p>
            <w:pPr>
              <w:widowControl/>
              <w:jc w:val="left"/>
              <w:rPr>
                <w:b/>
                <w:color w:val="auto"/>
                <w:kern w:val="0"/>
                <w:sz w:val="28"/>
                <w:szCs w:val="28"/>
              </w:rPr>
            </w:pPr>
          </w:p>
        </w:tc>
        <w:tc>
          <w:tcPr>
            <w:tcW w:w="1944" w:type="dxa"/>
            <w:tcBorders>
              <w:top w:val="single" w:color="auto" w:sz="4" w:space="0"/>
              <w:left w:val="single" w:color="auto" w:sz="4" w:space="0"/>
              <w:bottom w:val="single" w:color="auto" w:sz="4" w:space="0"/>
              <w:right w:val="single" w:color="auto" w:sz="4" w:space="0"/>
            </w:tcBorders>
            <w:vAlign w:val="top"/>
          </w:tcPr>
          <w:p>
            <w:pPr>
              <w:jc w:val="center"/>
              <w:rPr>
                <w:rFonts w:eastAsia="仿宋_GB2312"/>
                <w:color w:val="auto"/>
                <w:kern w:val="0"/>
                <w:sz w:val="30"/>
                <w:szCs w:val="30"/>
              </w:rPr>
            </w:pPr>
            <w:r>
              <w:rPr>
                <w:rFonts w:eastAsia="仿宋_GB2312"/>
                <w:color w:val="auto"/>
                <w:kern w:val="0"/>
                <w:sz w:val="30"/>
                <w:szCs w:val="30"/>
              </w:rPr>
              <w:t>2016年</w:t>
            </w:r>
          </w:p>
        </w:tc>
        <w:tc>
          <w:tcPr>
            <w:tcW w:w="14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100</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100</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50</w:t>
            </w:r>
          </w:p>
        </w:tc>
        <w:tc>
          <w:tcPr>
            <w:tcW w:w="1559" w:type="dxa"/>
            <w:tcBorders>
              <w:top w:val="single" w:color="auto" w:sz="4" w:space="0"/>
              <w:left w:val="single" w:color="auto" w:sz="4" w:space="0"/>
              <w:bottom w:val="single" w:color="auto" w:sz="4" w:space="0"/>
              <w:right w:val="nil"/>
            </w:tcBorders>
            <w:vAlign w:val="center"/>
          </w:tcPr>
          <w:p>
            <w:pPr>
              <w:jc w:val="center"/>
              <w:rPr>
                <w:rFonts w:eastAsia="仿宋_GB2312"/>
                <w:color w:val="auto"/>
                <w:kern w:val="0"/>
                <w:sz w:val="30"/>
                <w:szCs w:val="30"/>
              </w:rPr>
            </w:pPr>
            <w:r>
              <w:rPr>
                <w:rFonts w:eastAsia="仿宋_GB2312"/>
                <w:color w:val="auto"/>
                <w:kern w:val="0"/>
                <w:sz w:val="30"/>
                <w:szCs w:val="30"/>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95" w:type="dxa"/>
            <w:vMerge w:val="continue"/>
            <w:tcBorders>
              <w:top w:val="single" w:color="auto" w:sz="4" w:space="0"/>
              <w:left w:val="nil"/>
              <w:bottom w:val="single" w:color="auto" w:sz="4" w:space="0"/>
              <w:right w:val="single" w:color="auto" w:sz="4" w:space="0"/>
            </w:tcBorders>
            <w:vAlign w:val="center"/>
          </w:tcPr>
          <w:p>
            <w:pPr>
              <w:widowControl/>
              <w:jc w:val="left"/>
              <w:rPr>
                <w:b/>
                <w:color w:val="auto"/>
                <w:kern w:val="0"/>
                <w:sz w:val="28"/>
                <w:szCs w:val="28"/>
              </w:rPr>
            </w:pPr>
          </w:p>
        </w:tc>
        <w:tc>
          <w:tcPr>
            <w:tcW w:w="1944" w:type="dxa"/>
            <w:tcBorders>
              <w:top w:val="single" w:color="auto" w:sz="4" w:space="0"/>
              <w:left w:val="single" w:color="auto" w:sz="4" w:space="0"/>
              <w:bottom w:val="single" w:color="auto" w:sz="4" w:space="0"/>
              <w:right w:val="single" w:color="auto" w:sz="4" w:space="0"/>
            </w:tcBorders>
            <w:vAlign w:val="top"/>
          </w:tcPr>
          <w:p>
            <w:pPr>
              <w:jc w:val="center"/>
              <w:rPr>
                <w:rFonts w:eastAsia="仿宋_GB2312"/>
                <w:color w:val="auto"/>
                <w:kern w:val="0"/>
                <w:sz w:val="30"/>
                <w:szCs w:val="30"/>
              </w:rPr>
            </w:pPr>
            <w:r>
              <w:rPr>
                <w:rFonts w:eastAsia="仿宋_GB2312"/>
                <w:color w:val="auto"/>
                <w:kern w:val="0"/>
                <w:sz w:val="30"/>
                <w:szCs w:val="30"/>
              </w:rPr>
              <w:t>2017年</w:t>
            </w:r>
          </w:p>
        </w:tc>
        <w:tc>
          <w:tcPr>
            <w:tcW w:w="14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100</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100</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50</w:t>
            </w:r>
          </w:p>
        </w:tc>
        <w:tc>
          <w:tcPr>
            <w:tcW w:w="1559" w:type="dxa"/>
            <w:tcBorders>
              <w:top w:val="single" w:color="auto" w:sz="4" w:space="0"/>
              <w:left w:val="single" w:color="auto" w:sz="4" w:space="0"/>
              <w:bottom w:val="single" w:color="auto" w:sz="4" w:space="0"/>
              <w:right w:val="nil"/>
            </w:tcBorders>
            <w:vAlign w:val="center"/>
          </w:tcPr>
          <w:p>
            <w:pPr>
              <w:jc w:val="center"/>
              <w:rPr>
                <w:rFonts w:eastAsia="仿宋_GB2312"/>
                <w:color w:val="auto"/>
                <w:kern w:val="0"/>
                <w:sz w:val="30"/>
                <w:szCs w:val="30"/>
              </w:rPr>
            </w:pPr>
            <w:r>
              <w:rPr>
                <w:rFonts w:eastAsia="仿宋_GB2312"/>
                <w:color w:val="auto"/>
                <w:kern w:val="0"/>
                <w:sz w:val="30"/>
                <w:szCs w:val="30"/>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95" w:type="dxa"/>
            <w:vMerge w:val="continue"/>
            <w:tcBorders>
              <w:top w:val="single" w:color="auto" w:sz="4" w:space="0"/>
              <w:left w:val="nil"/>
              <w:bottom w:val="single" w:color="auto" w:sz="4" w:space="0"/>
              <w:right w:val="single" w:color="auto" w:sz="4" w:space="0"/>
            </w:tcBorders>
            <w:vAlign w:val="center"/>
          </w:tcPr>
          <w:p>
            <w:pPr>
              <w:widowControl/>
              <w:jc w:val="left"/>
              <w:rPr>
                <w:b/>
                <w:color w:val="auto"/>
                <w:kern w:val="0"/>
                <w:sz w:val="28"/>
                <w:szCs w:val="28"/>
              </w:rPr>
            </w:pPr>
          </w:p>
        </w:tc>
        <w:tc>
          <w:tcPr>
            <w:tcW w:w="1944" w:type="dxa"/>
            <w:tcBorders>
              <w:top w:val="single" w:color="auto" w:sz="4" w:space="0"/>
              <w:left w:val="single" w:color="auto" w:sz="4" w:space="0"/>
              <w:bottom w:val="single" w:color="auto" w:sz="4" w:space="0"/>
              <w:right w:val="single" w:color="auto" w:sz="4" w:space="0"/>
            </w:tcBorders>
            <w:vAlign w:val="top"/>
          </w:tcPr>
          <w:p>
            <w:pPr>
              <w:jc w:val="center"/>
              <w:rPr>
                <w:rFonts w:eastAsia="仿宋_GB2312"/>
                <w:color w:val="auto"/>
                <w:kern w:val="0"/>
                <w:sz w:val="30"/>
                <w:szCs w:val="30"/>
              </w:rPr>
            </w:pPr>
            <w:r>
              <w:rPr>
                <w:rFonts w:eastAsia="仿宋_GB2312"/>
                <w:color w:val="auto"/>
                <w:kern w:val="0"/>
                <w:sz w:val="30"/>
                <w:szCs w:val="30"/>
              </w:rPr>
              <w:t>201</w:t>
            </w:r>
            <w:r>
              <w:rPr>
                <w:rFonts w:hint="eastAsia" w:eastAsia="仿宋_GB2312"/>
                <w:color w:val="auto"/>
                <w:kern w:val="0"/>
                <w:sz w:val="30"/>
                <w:szCs w:val="30"/>
              </w:rPr>
              <w:t>8</w:t>
            </w:r>
            <w:r>
              <w:rPr>
                <w:rFonts w:eastAsia="仿宋_GB2312"/>
                <w:color w:val="auto"/>
                <w:kern w:val="0"/>
                <w:sz w:val="30"/>
                <w:szCs w:val="30"/>
              </w:rPr>
              <w:t>年</w:t>
            </w:r>
          </w:p>
        </w:tc>
        <w:tc>
          <w:tcPr>
            <w:tcW w:w="14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100</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100</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kern w:val="0"/>
                <w:sz w:val="30"/>
                <w:szCs w:val="30"/>
              </w:rPr>
            </w:pPr>
            <w:r>
              <w:rPr>
                <w:rFonts w:eastAsia="仿宋_GB2312"/>
                <w:color w:val="auto"/>
                <w:kern w:val="0"/>
                <w:sz w:val="30"/>
                <w:szCs w:val="30"/>
              </w:rPr>
              <w:t>50</w:t>
            </w:r>
          </w:p>
        </w:tc>
        <w:tc>
          <w:tcPr>
            <w:tcW w:w="1559" w:type="dxa"/>
            <w:tcBorders>
              <w:top w:val="single" w:color="auto" w:sz="4" w:space="0"/>
              <w:left w:val="single" w:color="auto" w:sz="4" w:space="0"/>
              <w:bottom w:val="single" w:color="auto" w:sz="4" w:space="0"/>
              <w:right w:val="nil"/>
            </w:tcBorders>
            <w:vAlign w:val="center"/>
          </w:tcPr>
          <w:p>
            <w:pPr>
              <w:jc w:val="center"/>
              <w:rPr>
                <w:rFonts w:eastAsia="仿宋_GB2312"/>
                <w:color w:val="auto"/>
                <w:kern w:val="0"/>
                <w:sz w:val="30"/>
                <w:szCs w:val="30"/>
              </w:rPr>
            </w:pPr>
            <w:r>
              <w:rPr>
                <w:rFonts w:eastAsia="仿宋_GB2312"/>
                <w:color w:val="auto"/>
                <w:kern w:val="0"/>
                <w:sz w:val="30"/>
                <w:szCs w:val="30"/>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95" w:type="dxa"/>
            <w:vMerge w:val="continue"/>
            <w:tcBorders>
              <w:top w:val="single" w:color="auto" w:sz="4" w:space="0"/>
              <w:left w:val="nil"/>
              <w:bottom w:val="single" w:color="auto" w:sz="4" w:space="0"/>
              <w:right w:val="single" w:color="auto" w:sz="4" w:space="0"/>
            </w:tcBorders>
            <w:vAlign w:val="center"/>
          </w:tcPr>
          <w:p>
            <w:pPr>
              <w:widowControl/>
              <w:jc w:val="left"/>
              <w:rPr>
                <w:b/>
                <w:color w:val="auto"/>
                <w:kern w:val="0"/>
                <w:sz w:val="28"/>
                <w:szCs w:val="28"/>
              </w:rPr>
            </w:pPr>
          </w:p>
        </w:tc>
        <w:tc>
          <w:tcPr>
            <w:tcW w:w="1944" w:type="dxa"/>
            <w:tcBorders>
              <w:top w:val="single" w:color="auto" w:sz="4" w:space="0"/>
              <w:left w:val="single" w:color="auto" w:sz="4" w:space="0"/>
              <w:bottom w:val="single" w:color="auto" w:sz="4" w:space="0"/>
              <w:right w:val="single" w:color="auto" w:sz="4" w:space="0"/>
            </w:tcBorders>
            <w:vAlign w:val="top"/>
          </w:tcPr>
          <w:p>
            <w:pPr>
              <w:jc w:val="right"/>
              <w:rPr>
                <w:rFonts w:eastAsia="仿宋_GB2312"/>
                <w:b/>
                <w:color w:val="auto"/>
                <w:kern w:val="0"/>
                <w:sz w:val="30"/>
                <w:szCs w:val="30"/>
              </w:rPr>
            </w:pPr>
            <w:r>
              <w:rPr>
                <w:rFonts w:eastAsia="仿宋_GB2312"/>
                <w:b/>
                <w:color w:val="auto"/>
                <w:kern w:val="0"/>
                <w:sz w:val="30"/>
                <w:szCs w:val="30"/>
              </w:rPr>
              <w:t>合计</w:t>
            </w:r>
          </w:p>
        </w:tc>
        <w:tc>
          <w:tcPr>
            <w:tcW w:w="1480" w:type="dxa"/>
            <w:tcBorders>
              <w:top w:val="single" w:color="auto" w:sz="4" w:space="0"/>
              <w:left w:val="single" w:color="auto" w:sz="4" w:space="0"/>
              <w:bottom w:val="single" w:color="auto" w:sz="4" w:space="0"/>
              <w:right w:val="single" w:color="auto" w:sz="4" w:space="0"/>
            </w:tcBorders>
            <w:vAlign w:val="center"/>
          </w:tcPr>
          <w:p>
            <w:pPr>
              <w:jc w:val="right"/>
              <w:rPr>
                <w:rFonts w:eastAsia="仿宋_GB2312"/>
                <w:b/>
                <w:color w:val="auto"/>
                <w:kern w:val="0"/>
                <w:sz w:val="30"/>
                <w:szCs w:val="30"/>
              </w:rPr>
            </w:pPr>
            <w:r>
              <w:rPr>
                <w:rFonts w:hint="eastAsia" w:eastAsia="仿宋_GB2312"/>
                <w:b/>
                <w:color w:val="auto"/>
                <w:kern w:val="0"/>
                <w:sz w:val="30"/>
                <w:szCs w:val="30"/>
              </w:rPr>
              <w:t>35</w:t>
            </w:r>
            <w:r>
              <w:rPr>
                <w:rFonts w:eastAsia="仿宋_GB2312"/>
                <w:b/>
                <w:color w:val="auto"/>
                <w:kern w:val="0"/>
                <w:sz w:val="30"/>
                <w:szCs w:val="30"/>
              </w:rPr>
              <w:t>0</w:t>
            </w:r>
          </w:p>
        </w:tc>
        <w:tc>
          <w:tcPr>
            <w:tcW w:w="1559" w:type="dxa"/>
            <w:tcBorders>
              <w:top w:val="single" w:color="auto" w:sz="4" w:space="0"/>
              <w:left w:val="single" w:color="auto" w:sz="4" w:space="0"/>
              <w:bottom w:val="single" w:color="auto" w:sz="4" w:space="0"/>
              <w:right w:val="single" w:color="auto" w:sz="4" w:space="0"/>
            </w:tcBorders>
            <w:vAlign w:val="center"/>
          </w:tcPr>
          <w:p>
            <w:pPr>
              <w:jc w:val="right"/>
              <w:rPr>
                <w:rFonts w:eastAsia="仿宋_GB2312"/>
                <w:b/>
                <w:color w:val="auto"/>
                <w:kern w:val="0"/>
                <w:sz w:val="30"/>
                <w:szCs w:val="30"/>
              </w:rPr>
            </w:pPr>
            <w:r>
              <w:rPr>
                <w:rFonts w:hint="eastAsia" w:eastAsia="仿宋_GB2312"/>
                <w:b/>
                <w:color w:val="auto"/>
                <w:kern w:val="0"/>
                <w:sz w:val="30"/>
                <w:szCs w:val="30"/>
              </w:rPr>
              <w:t>3</w:t>
            </w:r>
            <w:r>
              <w:rPr>
                <w:rFonts w:eastAsia="仿宋_GB2312"/>
                <w:b/>
                <w:color w:val="auto"/>
                <w:kern w:val="0"/>
                <w:sz w:val="30"/>
                <w:szCs w:val="30"/>
              </w:rPr>
              <w:t>50</w:t>
            </w:r>
          </w:p>
        </w:tc>
        <w:tc>
          <w:tcPr>
            <w:tcW w:w="1276" w:type="dxa"/>
            <w:tcBorders>
              <w:top w:val="single" w:color="auto" w:sz="4" w:space="0"/>
              <w:left w:val="single" w:color="auto" w:sz="4" w:space="0"/>
              <w:bottom w:val="single" w:color="auto" w:sz="4" w:space="0"/>
              <w:right w:val="single" w:color="auto" w:sz="4" w:space="0"/>
            </w:tcBorders>
            <w:vAlign w:val="center"/>
          </w:tcPr>
          <w:p>
            <w:pPr>
              <w:jc w:val="right"/>
              <w:rPr>
                <w:rFonts w:eastAsia="仿宋_GB2312"/>
                <w:b/>
                <w:color w:val="auto"/>
                <w:kern w:val="0"/>
                <w:sz w:val="30"/>
                <w:szCs w:val="30"/>
              </w:rPr>
            </w:pPr>
            <w:r>
              <w:rPr>
                <w:rFonts w:hint="eastAsia" w:eastAsia="仿宋_GB2312"/>
                <w:b/>
                <w:color w:val="auto"/>
                <w:kern w:val="0"/>
                <w:sz w:val="30"/>
                <w:szCs w:val="30"/>
              </w:rPr>
              <w:t>20</w:t>
            </w:r>
            <w:r>
              <w:rPr>
                <w:rFonts w:eastAsia="仿宋_GB2312"/>
                <w:b/>
                <w:color w:val="auto"/>
                <w:kern w:val="0"/>
                <w:sz w:val="30"/>
                <w:szCs w:val="30"/>
              </w:rPr>
              <w:t>0</w:t>
            </w:r>
          </w:p>
        </w:tc>
        <w:tc>
          <w:tcPr>
            <w:tcW w:w="1559" w:type="dxa"/>
            <w:tcBorders>
              <w:top w:val="single" w:color="auto" w:sz="4" w:space="0"/>
              <w:left w:val="single" w:color="auto" w:sz="4" w:space="0"/>
              <w:bottom w:val="single" w:color="auto" w:sz="4" w:space="0"/>
              <w:right w:val="nil"/>
            </w:tcBorders>
            <w:vAlign w:val="center"/>
          </w:tcPr>
          <w:p>
            <w:pPr>
              <w:jc w:val="right"/>
              <w:rPr>
                <w:rFonts w:eastAsia="仿宋_GB2312"/>
                <w:b/>
                <w:color w:val="auto"/>
                <w:kern w:val="0"/>
                <w:sz w:val="30"/>
                <w:szCs w:val="30"/>
              </w:rPr>
            </w:pPr>
            <w:r>
              <w:rPr>
                <w:rFonts w:hint="eastAsia" w:eastAsia="仿宋_GB2312"/>
                <w:b/>
                <w:color w:val="auto"/>
                <w:kern w:val="0"/>
                <w:sz w:val="30"/>
                <w:szCs w:val="30"/>
              </w:rPr>
              <w:t>20</w:t>
            </w:r>
            <w:r>
              <w:rPr>
                <w:rFonts w:eastAsia="仿宋_GB2312"/>
                <w:b/>
                <w:color w:val="auto"/>
                <w:kern w:val="0"/>
                <w:sz w:val="30"/>
                <w:szCs w:val="30"/>
              </w:rPr>
              <w:t>0</w:t>
            </w:r>
          </w:p>
        </w:tc>
      </w:tr>
    </w:tbl>
    <w:p>
      <w:pPr>
        <w:spacing w:line="560" w:lineRule="exact"/>
        <w:jc w:val="center"/>
        <w:rPr>
          <w:color w:val="auto"/>
        </w:rPr>
      </w:pPr>
    </w:p>
    <w:p>
      <w:pPr>
        <w:rPr>
          <w:rFonts w:hint="default" w:ascii="Arial" w:hAnsi="Arial" w:eastAsia="黑体" w:cs="Arial"/>
          <w:color w:val="auto"/>
          <w:sz w:val="32"/>
          <w:szCs w:val="32"/>
        </w:rPr>
      </w:pPr>
    </w:p>
    <w:p>
      <w:pPr>
        <w:widowControl/>
        <w:jc w:val="left"/>
        <w:rPr>
          <w:rFonts w:hint="default" w:ascii="Arial" w:hAnsi="Arial" w:cs="Arial"/>
          <w:color w:val="auto"/>
        </w:rPr>
      </w:pPr>
    </w:p>
    <w:sectPr>
      <w:headerReference r:id="rId9" w:type="default"/>
      <w:footerReference r:id="rId10" w:type="default"/>
      <w:pgSz w:w="11907" w:h="16840"/>
      <w:pgMar w:top="1440" w:right="1797" w:bottom="1440" w:left="179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2000000000000000000"/>
    <w:charset w:val="00"/>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Content>
      <w:p>
        <w:pPr>
          <w:pStyle w:val="13"/>
          <w:jc w:val="center"/>
        </w:pPr>
        <w:r>
          <w:fldChar w:fldCharType="begin"/>
        </w:r>
        <w:r>
          <w:instrText xml:space="preserve">PAGE   \* MERGEFORMAT</w:instrText>
        </w:r>
        <w:r>
          <w:fldChar w:fldCharType="separate"/>
        </w:r>
        <w:r>
          <w:rPr>
            <w:lang w:val="zh-CN"/>
          </w:rPr>
          <w:t>11</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ind w:left="420" w:leftChars="200" w:right="420" w:rightChars="200"/>
      <w:rPr>
        <w:rStyle w:val="27"/>
        <w:rFonts w:ascii="宋体" w:hAnsi="宋体"/>
        <w:sz w:val="28"/>
        <w:szCs w:val="28"/>
      </w:rPr>
    </w:pPr>
    <w:r>
      <w:rPr>
        <w:rStyle w:val="27"/>
        <w:rFonts w:hint="eastAsia" w:ascii="宋体" w:hAnsi="宋体"/>
        <w:sz w:val="28"/>
        <w:szCs w:val="28"/>
      </w:rPr>
      <w:t>—</w:t>
    </w:r>
    <w:r>
      <w:rPr>
        <w:rStyle w:val="27"/>
        <w:rFonts w:ascii="宋体" w:hAnsi="宋体"/>
        <w:sz w:val="28"/>
        <w:szCs w:val="28"/>
      </w:rPr>
      <w:fldChar w:fldCharType="begin"/>
    </w:r>
    <w:r>
      <w:rPr>
        <w:rStyle w:val="27"/>
        <w:rFonts w:ascii="宋体" w:hAnsi="宋体"/>
        <w:sz w:val="28"/>
        <w:szCs w:val="28"/>
      </w:rPr>
      <w:instrText xml:space="preserve">PAGE  </w:instrText>
    </w:r>
    <w:r>
      <w:rPr>
        <w:rStyle w:val="27"/>
        <w:rFonts w:ascii="宋体" w:hAnsi="宋体"/>
        <w:sz w:val="28"/>
        <w:szCs w:val="28"/>
      </w:rPr>
      <w:fldChar w:fldCharType="separate"/>
    </w:r>
    <w:r>
      <w:rPr>
        <w:rStyle w:val="27"/>
        <w:rFonts w:ascii="宋体" w:hAnsi="宋体"/>
        <w:sz w:val="28"/>
        <w:szCs w:val="28"/>
      </w:rPr>
      <w:t>3</w:t>
    </w:r>
    <w:r>
      <w:rPr>
        <w:rStyle w:val="27"/>
        <w:rFonts w:ascii="宋体" w:hAnsi="宋体"/>
        <w:sz w:val="28"/>
        <w:szCs w:val="28"/>
      </w:rPr>
      <w:fldChar w:fldCharType="end"/>
    </w:r>
    <w:r>
      <w:rPr>
        <w:rStyle w:val="27"/>
        <w:rFonts w:hint="eastAsia" w:ascii="宋体" w:hAnsi="宋体"/>
        <w:sz w:val="28"/>
        <w:szCs w:val="28"/>
      </w:rPr>
      <w:t>—</w:t>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22</w:t>
    </w:r>
    <w:r>
      <w:rPr>
        <w:lang w:val="zh-CN"/>
      </w:rPr>
      <w:fldChar w:fldCharType="end"/>
    </w:r>
  </w:p>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7"/>
        <w:rPr>
          <w:color w:val="FF0000"/>
        </w:rPr>
      </w:pPr>
      <w:r>
        <w:rPr>
          <w:rStyle w:val="29"/>
          <w:color w:val="FF0000"/>
        </w:rPr>
        <w:footnoteRef/>
      </w:r>
      <w:r>
        <w:rPr>
          <w:color w:val="FF0000"/>
        </w:rPr>
        <w:t xml:space="preserve"> </w:t>
      </w:r>
      <w:r>
        <w:rPr>
          <w:rFonts w:hint="eastAsia"/>
          <w:color w:val="FF0000"/>
        </w:rPr>
        <w:t>请如实填入《项目任务书》的既定计划，不可选填、错填、漏填。</w:t>
      </w:r>
    </w:p>
  </w:footnote>
  <w:footnote w:id="1">
    <w:p>
      <w:pPr>
        <w:pStyle w:val="17"/>
        <w:rPr>
          <w:color w:val="FF0000"/>
        </w:rPr>
      </w:pPr>
      <w:r>
        <w:rPr>
          <w:rStyle w:val="29"/>
          <w:color w:val="FF0000"/>
        </w:rPr>
        <w:footnoteRef/>
      </w:r>
      <w:r>
        <w:rPr>
          <w:rFonts w:hint="eastAsia"/>
          <w:color w:val="FF0000"/>
        </w:rPr>
        <w:t>根据苏教高函﹝</w:t>
      </w:r>
      <w:r>
        <w:rPr>
          <w:color w:val="FF0000"/>
        </w:rPr>
        <w:t>2016</w:t>
      </w:r>
      <w:r>
        <w:rPr>
          <w:rFonts w:hint="eastAsia"/>
          <w:color w:val="FF0000"/>
        </w:rPr>
        <w:t>﹞</w:t>
      </w:r>
      <w:r>
        <w:rPr>
          <w:color w:val="FF0000"/>
        </w:rPr>
        <w:t>2</w:t>
      </w:r>
      <w:r>
        <w:rPr>
          <w:rFonts w:hint="eastAsia"/>
          <w:color w:val="FF0000"/>
        </w:rPr>
        <w:t>号文件要求，有关论文、专著、专利、科研奖项、教学成果等均须以合适方式标注“江苏高校品牌专业建设工程资助项目”（英文标志：</w:t>
      </w:r>
      <w:r>
        <w:rPr>
          <w:color w:val="FF0000"/>
        </w:rPr>
        <w:t>Top-notch Academic Programs Project of Jiangsu Higher Education Institutions</w:t>
      </w:r>
      <w:r>
        <w:rPr>
          <w:rFonts w:hint="eastAsia"/>
          <w:color w:val="FF0000"/>
        </w:rPr>
        <w:t>，英文标志简称：</w:t>
      </w:r>
      <w:r>
        <w:rPr>
          <w:color w:val="FF0000"/>
        </w:rPr>
        <w:t>TAPP</w:t>
      </w:r>
      <w:r>
        <w:rPr>
          <w:rFonts w:hint="eastAsia"/>
          <w:color w:val="FF0000"/>
        </w:rPr>
        <w:t>）标识，否则不得作为项目考核验收内容。</w:t>
      </w:r>
    </w:p>
  </w:footnote>
  <w:footnote w:id="2">
    <w:p>
      <w:pPr>
        <w:pStyle w:val="17"/>
      </w:pPr>
      <w:r>
        <w:rPr>
          <w:rStyle w:val="29"/>
        </w:rPr>
        <w:footnoteRef/>
      </w:r>
      <w:r>
        <w:rPr>
          <w:rFonts w:hint="eastAsia"/>
        </w:rPr>
        <w:t>标志性成果请依据苏教高〔</w:t>
      </w:r>
      <w:r>
        <w:t>2015</w:t>
      </w:r>
      <w:r>
        <w:rPr>
          <w:rFonts w:hint="eastAsia"/>
        </w:rPr>
        <w:t>〕</w:t>
      </w:r>
      <w:r>
        <w:t>14</w:t>
      </w:r>
      <w:r>
        <w:rPr>
          <w:rFonts w:hint="eastAsia"/>
        </w:rPr>
        <w:t>号文件中附件</w:t>
      </w:r>
      <w:r>
        <w:t>2</w:t>
      </w:r>
      <w:r>
        <w:rPr>
          <w:rFonts w:hint="eastAsia"/>
        </w:rPr>
        <w:t>“江苏高校品牌专业建设工程一期项目指导性基本项目任务”中规定的要求填写，Ⅰ代表国际通用标准；Ⅱ代表国家级；Ⅲ代表省级。国际通用标准仅指专业通过国际等效的专业认证，国家级仅指教育部及以上部门所认定成果（项目、奖励、荣誉称号等，下同），省级仅指国家有关部委、省政府、省教育厅所认定成果，且不包括已立项但未结题的课题、已立项但未正式上线的在线开放课程、已立项但未出版（再版）的教材。省教育厅所认定成果，仅指以江苏省教育厅或江苏省教育厅办公室印发的正式文件（如编号为“苏教高”、“苏教办高”等）发文布置或公布结果的项目。任何其他部门、协会、组织的成果均不得作为标志性成果。任何与该品牌专业无关的成果不得列为标志性成果。</w:t>
      </w:r>
      <w:r>
        <w:rPr>
          <w:rFonts w:hint="eastAsia"/>
          <w:b/>
        </w:rPr>
        <w:t>凡是故意填写不符合条件的成果为标志性成果，以及将无级别、低级别成果标为高级别成果的，期末报告不予通过。</w:t>
      </w:r>
    </w:p>
  </w:footnote>
  <w:footnote w:id="3">
    <w:p>
      <w:pPr>
        <w:pStyle w:val="17"/>
      </w:pPr>
      <w:r>
        <w:rPr>
          <w:rStyle w:val="29"/>
        </w:rPr>
        <w:footnoteRef/>
      </w:r>
      <w:r>
        <w:rPr>
          <w:rFonts w:hint="eastAsia"/>
        </w:rPr>
        <w:t>“精彩三事例”，仅限填写三件事，不可多写。不限内容，可以与标志性成果重复，也可以不重复。</w:t>
      </w:r>
    </w:p>
  </w:footnote>
  <w:footnote w:id="4">
    <w:p>
      <w:pPr>
        <w:pStyle w:val="17"/>
      </w:pPr>
      <w:r>
        <w:rPr>
          <w:rStyle w:val="29"/>
        </w:rPr>
        <w:footnoteRef/>
      </w:r>
      <w:r>
        <w:rPr>
          <w:rFonts w:hint="eastAsia"/>
          <w:w w:val="95"/>
        </w:rPr>
        <w:t>支出科目请依据《江苏高校品牌专业建设工程专项资金管理暂行办法》（苏财规〔</w:t>
      </w:r>
      <w:r>
        <w:rPr>
          <w:w w:val="95"/>
        </w:rPr>
        <w:t>2015</w:t>
      </w:r>
      <w:r>
        <w:rPr>
          <w:rFonts w:hint="eastAsia"/>
          <w:w w:val="95"/>
        </w:rPr>
        <w:t>〕</w:t>
      </w:r>
      <w:r>
        <w:rPr>
          <w:w w:val="95"/>
        </w:rPr>
        <w:t>43</w:t>
      </w:r>
      <w:r>
        <w:rPr>
          <w:rFonts w:hint="eastAsia"/>
          <w:w w:val="95"/>
        </w:rPr>
        <w:t>号）规定的要求填写。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asciiTheme="minorEastAsia" w:hAnsiTheme="minorEastAsia"/>
      </w:rPr>
      <w:t>附</w:t>
    </w:r>
    <w:r>
      <w:rPr>
        <w:rFonts w:hint="eastAsia" w:asciiTheme="minorEastAsia" w:hAnsiTheme="minorEastAsia"/>
      </w:rPr>
      <w:t>3：分项任务建设内容相关证明</w:t>
    </w:r>
  </w:p>
  <w:p>
    <w:pPr>
      <w:pStyle w:val="14"/>
      <w:pBdr>
        <w:bottom w:val="none" w:color="auto" w:sz="0" w:space="0"/>
      </w:pBdr>
      <w:rPr>
        <w:rFonts w:asciiTheme="minorEastAsia" w:hAnsi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25B23"/>
    <w:multiLevelType w:val="singleLevel"/>
    <w:tmpl w:val="8AC25B23"/>
    <w:lvl w:ilvl="0" w:tentative="0">
      <w:start w:val="1"/>
      <w:numFmt w:val="decimal"/>
      <w:suff w:val="nothing"/>
      <w:lvlText w:val="%1、"/>
      <w:lvlJc w:val="left"/>
    </w:lvl>
  </w:abstractNum>
  <w:abstractNum w:abstractNumId="1">
    <w:nsid w:val="974AE049"/>
    <w:multiLevelType w:val="singleLevel"/>
    <w:tmpl w:val="974AE049"/>
    <w:lvl w:ilvl="0" w:tentative="0">
      <w:start w:val="3"/>
      <w:numFmt w:val="decimal"/>
      <w:suff w:val="nothing"/>
      <w:lvlText w:val="（%1）"/>
      <w:lvlJc w:val="left"/>
    </w:lvl>
  </w:abstractNum>
  <w:abstractNum w:abstractNumId="2">
    <w:nsid w:val="BA40D4D0"/>
    <w:multiLevelType w:val="singleLevel"/>
    <w:tmpl w:val="BA40D4D0"/>
    <w:lvl w:ilvl="0" w:tentative="0">
      <w:start w:val="3"/>
      <w:numFmt w:val="chineseCounting"/>
      <w:suff w:val="nothing"/>
      <w:lvlText w:val="%1、"/>
      <w:lvlJc w:val="left"/>
      <w:rPr>
        <w:rFonts w:hint="eastAsia"/>
      </w:rPr>
    </w:lvl>
  </w:abstractNum>
  <w:abstractNum w:abstractNumId="3">
    <w:nsid w:val="C9244399"/>
    <w:multiLevelType w:val="singleLevel"/>
    <w:tmpl w:val="C9244399"/>
    <w:lvl w:ilvl="0" w:tentative="0">
      <w:start w:val="1"/>
      <w:numFmt w:val="decimal"/>
      <w:suff w:val="space"/>
      <w:lvlText w:val="%1."/>
      <w:lvlJc w:val="left"/>
    </w:lvl>
  </w:abstractNum>
  <w:abstractNum w:abstractNumId="4">
    <w:nsid w:val="EE1C38BD"/>
    <w:multiLevelType w:val="singleLevel"/>
    <w:tmpl w:val="EE1C38BD"/>
    <w:lvl w:ilvl="0" w:tentative="0">
      <w:start w:val="1"/>
      <w:numFmt w:val="decimal"/>
      <w:suff w:val="nothing"/>
      <w:lvlText w:val="%1、"/>
      <w:lvlJc w:val="left"/>
    </w:lvl>
  </w:abstractNum>
  <w:abstractNum w:abstractNumId="5">
    <w:nsid w:val="0E6C9197"/>
    <w:multiLevelType w:val="singleLevel"/>
    <w:tmpl w:val="0E6C9197"/>
    <w:lvl w:ilvl="0" w:tentative="0">
      <w:start w:val="2"/>
      <w:numFmt w:val="decimal"/>
      <w:suff w:val="nothing"/>
      <w:lvlText w:val="%1、"/>
      <w:lvlJc w:val="left"/>
    </w:lvl>
  </w:abstractNum>
  <w:abstractNum w:abstractNumId="6">
    <w:nsid w:val="466A2F0C"/>
    <w:multiLevelType w:val="singleLevel"/>
    <w:tmpl w:val="466A2F0C"/>
    <w:lvl w:ilvl="0" w:tentative="0">
      <w:start w:val="1"/>
      <w:numFmt w:val="decimal"/>
      <w:suff w:val="nothing"/>
      <w:lvlText w:val="%1、"/>
      <w:lvlJc w:val="left"/>
    </w:lvl>
  </w:abstractNum>
  <w:abstractNum w:abstractNumId="7">
    <w:nsid w:val="73C5317F"/>
    <w:multiLevelType w:val="singleLevel"/>
    <w:tmpl w:val="73C5317F"/>
    <w:lvl w:ilvl="0" w:tentative="0">
      <w:start w:val="3"/>
      <w:numFmt w:val="decimal"/>
      <w:suff w:val="nothing"/>
      <w:lvlText w:val="（%1）"/>
      <w:lvlJc w:val="left"/>
    </w:lvl>
  </w:abstractNum>
  <w:num w:numId="1">
    <w:abstractNumId w:val="5"/>
  </w:num>
  <w:num w:numId="2">
    <w:abstractNumId w:val="4"/>
  </w:num>
  <w:num w:numId="3">
    <w:abstractNumId w:val="0"/>
  </w:num>
  <w:num w:numId="4">
    <w:abstractNumId w:val="6"/>
  </w:num>
  <w:num w:numId="5">
    <w:abstractNumId w:val="3"/>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EFB"/>
    <w:rsid w:val="00000C92"/>
    <w:rsid w:val="000206EF"/>
    <w:rsid w:val="00021680"/>
    <w:rsid w:val="00025A20"/>
    <w:rsid w:val="00027D52"/>
    <w:rsid w:val="00032793"/>
    <w:rsid w:val="00045145"/>
    <w:rsid w:val="00046165"/>
    <w:rsid w:val="000800C6"/>
    <w:rsid w:val="00086056"/>
    <w:rsid w:val="000A3541"/>
    <w:rsid w:val="000A563F"/>
    <w:rsid w:val="000A7233"/>
    <w:rsid w:val="000B2962"/>
    <w:rsid w:val="000B5431"/>
    <w:rsid w:val="000B7B27"/>
    <w:rsid w:val="000C09AA"/>
    <w:rsid w:val="000F3EF7"/>
    <w:rsid w:val="000F42DC"/>
    <w:rsid w:val="000F4571"/>
    <w:rsid w:val="00105FBF"/>
    <w:rsid w:val="00113965"/>
    <w:rsid w:val="00113D47"/>
    <w:rsid w:val="00113ECA"/>
    <w:rsid w:val="0011428C"/>
    <w:rsid w:val="0013425B"/>
    <w:rsid w:val="00150096"/>
    <w:rsid w:val="0016385D"/>
    <w:rsid w:val="001A527E"/>
    <w:rsid w:val="001A75F7"/>
    <w:rsid w:val="001B56A1"/>
    <w:rsid w:val="001D30CE"/>
    <w:rsid w:val="001E05A8"/>
    <w:rsid w:val="001E05DE"/>
    <w:rsid w:val="001E42E1"/>
    <w:rsid w:val="001E5190"/>
    <w:rsid w:val="001F521F"/>
    <w:rsid w:val="001F6842"/>
    <w:rsid w:val="002029FF"/>
    <w:rsid w:val="00207E71"/>
    <w:rsid w:val="00216134"/>
    <w:rsid w:val="00216731"/>
    <w:rsid w:val="00223A34"/>
    <w:rsid w:val="00227E4C"/>
    <w:rsid w:val="00241598"/>
    <w:rsid w:val="0024253B"/>
    <w:rsid w:val="00262A43"/>
    <w:rsid w:val="00263AD6"/>
    <w:rsid w:val="00266144"/>
    <w:rsid w:val="00283CD2"/>
    <w:rsid w:val="0029266A"/>
    <w:rsid w:val="00297FC8"/>
    <w:rsid w:val="002A4466"/>
    <w:rsid w:val="002A49BE"/>
    <w:rsid w:val="002A4AC8"/>
    <w:rsid w:val="002B0A71"/>
    <w:rsid w:val="002B11D3"/>
    <w:rsid w:val="002B3632"/>
    <w:rsid w:val="002B3CA9"/>
    <w:rsid w:val="002B5AD0"/>
    <w:rsid w:val="002B6417"/>
    <w:rsid w:val="002C7001"/>
    <w:rsid w:val="002D104D"/>
    <w:rsid w:val="002D1D09"/>
    <w:rsid w:val="002D239D"/>
    <w:rsid w:val="002D6EB1"/>
    <w:rsid w:val="002E0BAA"/>
    <w:rsid w:val="002E1A40"/>
    <w:rsid w:val="002E43E9"/>
    <w:rsid w:val="00310D95"/>
    <w:rsid w:val="003129D2"/>
    <w:rsid w:val="003234D2"/>
    <w:rsid w:val="00327D73"/>
    <w:rsid w:val="003321E0"/>
    <w:rsid w:val="003400E5"/>
    <w:rsid w:val="00354F81"/>
    <w:rsid w:val="003630CC"/>
    <w:rsid w:val="00364C8E"/>
    <w:rsid w:val="00370892"/>
    <w:rsid w:val="00374CF1"/>
    <w:rsid w:val="0038236B"/>
    <w:rsid w:val="00391561"/>
    <w:rsid w:val="003A4CF0"/>
    <w:rsid w:val="003B7D5C"/>
    <w:rsid w:val="003C06EC"/>
    <w:rsid w:val="003C640A"/>
    <w:rsid w:val="003C6D6E"/>
    <w:rsid w:val="003E4200"/>
    <w:rsid w:val="003E481C"/>
    <w:rsid w:val="003E6A28"/>
    <w:rsid w:val="003F00C4"/>
    <w:rsid w:val="003F2339"/>
    <w:rsid w:val="003F432A"/>
    <w:rsid w:val="00400BAD"/>
    <w:rsid w:val="00407A18"/>
    <w:rsid w:val="00421738"/>
    <w:rsid w:val="00422B5B"/>
    <w:rsid w:val="00423F4B"/>
    <w:rsid w:val="00424923"/>
    <w:rsid w:val="004301C5"/>
    <w:rsid w:val="00437825"/>
    <w:rsid w:val="00444D01"/>
    <w:rsid w:val="00444D6B"/>
    <w:rsid w:val="00445816"/>
    <w:rsid w:val="00450C3C"/>
    <w:rsid w:val="004540B1"/>
    <w:rsid w:val="00456767"/>
    <w:rsid w:val="00467553"/>
    <w:rsid w:val="00475B3F"/>
    <w:rsid w:val="00481720"/>
    <w:rsid w:val="0048480F"/>
    <w:rsid w:val="00487ED8"/>
    <w:rsid w:val="004959E6"/>
    <w:rsid w:val="004C2B7C"/>
    <w:rsid w:val="004C2D93"/>
    <w:rsid w:val="004C5896"/>
    <w:rsid w:val="004C7517"/>
    <w:rsid w:val="004D25F7"/>
    <w:rsid w:val="004D5E82"/>
    <w:rsid w:val="004D7725"/>
    <w:rsid w:val="004E1056"/>
    <w:rsid w:val="004E3D85"/>
    <w:rsid w:val="004E6615"/>
    <w:rsid w:val="004F5BC7"/>
    <w:rsid w:val="00510546"/>
    <w:rsid w:val="00514753"/>
    <w:rsid w:val="005165DF"/>
    <w:rsid w:val="0053400F"/>
    <w:rsid w:val="00536C31"/>
    <w:rsid w:val="005373CC"/>
    <w:rsid w:val="00541BC3"/>
    <w:rsid w:val="00543279"/>
    <w:rsid w:val="00557FA6"/>
    <w:rsid w:val="005643AE"/>
    <w:rsid w:val="0057119A"/>
    <w:rsid w:val="00577800"/>
    <w:rsid w:val="00587831"/>
    <w:rsid w:val="005904A4"/>
    <w:rsid w:val="00592A35"/>
    <w:rsid w:val="00592B1A"/>
    <w:rsid w:val="00595223"/>
    <w:rsid w:val="005A1E2C"/>
    <w:rsid w:val="005A3512"/>
    <w:rsid w:val="005A392E"/>
    <w:rsid w:val="005B089A"/>
    <w:rsid w:val="005D48CD"/>
    <w:rsid w:val="005E4A86"/>
    <w:rsid w:val="005F2748"/>
    <w:rsid w:val="005F34C8"/>
    <w:rsid w:val="00600DB4"/>
    <w:rsid w:val="006130FC"/>
    <w:rsid w:val="0061393D"/>
    <w:rsid w:val="00616DD2"/>
    <w:rsid w:val="00626BD0"/>
    <w:rsid w:val="00634216"/>
    <w:rsid w:val="0065090D"/>
    <w:rsid w:val="00651E4C"/>
    <w:rsid w:val="00655CCC"/>
    <w:rsid w:val="0066249F"/>
    <w:rsid w:val="006708A5"/>
    <w:rsid w:val="00672E6E"/>
    <w:rsid w:val="006738B9"/>
    <w:rsid w:val="006837CB"/>
    <w:rsid w:val="006842BF"/>
    <w:rsid w:val="00685A4F"/>
    <w:rsid w:val="00695532"/>
    <w:rsid w:val="006A35A2"/>
    <w:rsid w:val="006A469E"/>
    <w:rsid w:val="006B5D71"/>
    <w:rsid w:val="006B6B1C"/>
    <w:rsid w:val="006D2A7C"/>
    <w:rsid w:val="006D4206"/>
    <w:rsid w:val="006D73AD"/>
    <w:rsid w:val="006E24DD"/>
    <w:rsid w:val="006E6026"/>
    <w:rsid w:val="006E611B"/>
    <w:rsid w:val="0071044C"/>
    <w:rsid w:val="00715447"/>
    <w:rsid w:val="00717B45"/>
    <w:rsid w:val="007204E2"/>
    <w:rsid w:val="007247EA"/>
    <w:rsid w:val="00747E5F"/>
    <w:rsid w:val="00752231"/>
    <w:rsid w:val="007579C8"/>
    <w:rsid w:val="00782105"/>
    <w:rsid w:val="00782AE5"/>
    <w:rsid w:val="00784E5F"/>
    <w:rsid w:val="00785D1C"/>
    <w:rsid w:val="00797E59"/>
    <w:rsid w:val="007A0358"/>
    <w:rsid w:val="007A4F12"/>
    <w:rsid w:val="007B10F0"/>
    <w:rsid w:val="007B45F4"/>
    <w:rsid w:val="007B5A03"/>
    <w:rsid w:val="007B5C96"/>
    <w:rsid w:val="007B76DF"/>
    <w:rsid w:val="007B78AB"/>
    <w:rsid w:val="007C6DD5"/>
    <w:rsid w:val="007D34BB"/>
    <w:rsid w:val="007E21F8"/>
    <w:rsid w:val="007E488B"/>
    <w:rsid w:val="007E5D4E"/>
    <w:rsid w:val="007F02F5"/>
    <w:rsid w:val="00800E81"/>
    <w:rsid w:val="008072A4"/>
    <w:rsid w:val="00813887"/>
    <w:rsid w:val="00814549"/>
    <w:rsid w:val="00823756"/>
    <w:rsid w:val="0082536C"/>
    <w:rsid w:val="00832166"/>
    <w:rsid w:val="008355FA"/>
    <w:rsid w:val="00836E6C"/>
    <w:rsid w:val="00841262"/>
    <w:rsid w:val="00844A8E"/>
    <w:rsid w:val="00845495"/>
    <w:rsid w:val="00846648"/>
    <w:rsid w:val="008525DA"/>
    <w:rsid w:val="00855AF6"/>
    <w:rsid w:val="00863611"/>
    <w:rsid w:val="00865490"/>
    <w:rsid w:val="00866E31"/>
    <w:rsid w:val="00867BC2"/>
    <w:rsid w:val="00880EFA"/>
    <w:rsid w:val="008816F5"/>
    <w:rsid w:val="00883039"/>
    <w:rsid w:val="008919A0"/>
    <w:rsid w:val="0089396D"/>
    <w:rsid w:val="008943DC"/>
    <w:rsid w:val="008A0899"/>
    <w:rsid w:val="008A3675"/>
    <w:rsid w:val="008A7025"/>
    <w:rsid w:val="008B2AF0"/>
    <w:rsid w:val="008B5028"/>
    <w:rsid w:val="008B62FE"/>
    <w:rsid w:val="008C4BBA"/>
    <w:rsid w:val="008C538D"/>
    <w:rsid w:val="008C7B26"/>
    <w:rsid w:val="008D004A"/>
    <w:rsid w:val="008D428E"/>
    <w:rsid w:val="008E2E97"/>
    <w:rsid w:val="008E3132"/>
    <w:rsid w:val="008E3ABF"/>
    <w:rsid w:val="008E6DCA"/>
    <w:rsid w:val="008E6F2D"/>
    <w:rsid w:val="00912EE7"/>
    <w:rsid w:val="0091320A"/>
    <w:rsid w:val="00916FA7"/>
    <w:rsid w:val="0091724C"/>
    <w:rsid w:val="00921CAC"/>
    <w:rsid w:val="00924CE3"/>
    <w:rsid w:val="00927E0E"/>
    <w:rsid w:val="00931E8C"/>
    <w:rsid w:val="0093260B"/>
    <w:rsid w:val="00936527"/>
    <w:rsid w:val="00940BF5"/>
    <w:rsid w:val="00942347"/>
    <w:rsid w:val="0095528A"/>
    <w:rsid w:val="00963CF6"/>
    <w:rsid w:val="009730D3"/>
    <w:rsid w:val="009824D6"/>
    <w:rsid w:val="00993C5C"/>
    <w:rsid w:val="00995B6B"/>
    <w:rsid w:val="009A06E5"/>
    <w:rsid w:val="009A0F4D"/>
    <w:rsid w:val="009A3261"/>
    <w:rsid w:val="009A6AEC"/>
    <w:rsid w:val="009B4A72"/>
    <w:rsid w:val="009C3DC0"/>
    <w:rsid w:val="009C4AE0"/>
    <w:rsid w:val="009F1178"/>
    <w:rsid w:val="00A0282B"/>
    <w:rsid w:val="00A13FBE"/>
    <w:rsid w:val="00A24A09"/>
    <w:rsid w:val="00A27EB0"/>
    <w:rsid w:val="00A43DF0"/>
    <w:rsid w:val="00A51205"/>
    <w:rsid w:val="00A52C6A"/>
    <w:rsid w:val="00A728B0"/>
    <w:rsid w:val="00A73846"/>
    <w:rsid w:val="00A759FA"/>
    <w:rsid w:val="00AA1B2E"/>
    <w:rsid w:val="00AA71A1"/>
    <w:rsid w:val="00AC59D4"/>
    <w:rsid w:val="00AE3792"/>
    <w:rsid w:val="00AF49AC"/>
    <w:rsid w:val="00B10D88"/>
    <w:rsid w:val="00B1154E"/>
    <w:rsid w:val="00B17500"/>
    <w:rsid w:val="00B2369E"/>
    <w:rsid w:val="00B344C6"/>
    <w:rsid w:val="00B360CE"/>
    <w:rsid w:val="00B377F6"/>
    <w:rsid w:val="00B43647"/>
    <w:rsid w:val="00B536B9"/>
    <w:rsid w:val="00B64E07"/>
    <w:rsid w:val="00B730EA"/>
    <w:rsid w:val="00B735B0"/>
    <w:rsid w:val="00B77DC5"/>
    <w:rsid w:val="00B85183"/>
    <w:rsid w:val="00B937AD"/>
    <w:rsid w:val="00B93A52"/>
    <w:rsid w:val="00BA1785"/>
    <w:rsid w:val="00BB0416"/>
    <w:rsid w:val="00BB2EB3"/>
    <w:rsid w:val="00BB4E01"/>
    <w:rsid w:val="00BB71FF"/>
    <w:rsid w:val="00BC0DD3"/>
    <w:rsid w:val="00BC7623"/>
    <w:rsid w:val="00BD27F2"/>
    <w:rsid w:val="00BD3318"/>
    <w:rsid w:val="00BD6765"/>
    <w:rsid w:val="00BD7BDA"/>
    <w:rsid w:val="00BE00BE"/>
    <w:rsid w:val="00BF38BD"/>
    <w:rsid w:val="00BF3B78"/>
    <w:rsid w:val="00C07EFB"/>
    <w:rsid w:val="00C24492"/>
    <w:rsid w:val="00C3396D"/>
    <w:rsid w:val="00C4078F"/>
    <w:rsid w:val="00C4080D"/>
    <w:rsid w:val="00C427EF"/>
    <w:rsid w:val="00C44C09"/>
    <w:rsid w:val="00C5188A"/>
    <w:rsid w:val="00C60D53"/>
    <w:rsid w:val="00C7657C"/>
    <w:rsid w:val="00C84C54"/>
    <w:rsid w:val="00C85174"/>
    <w:rsid w:val="00C95C57"/>
    <w:rsid w:val="00CA350F"/>
    <w:rsid w:val="00CA5211"/>
    <w:rsid w:val="00CB3E20"/>
    <w:rsid w:val="00CB43AA"/>
    <w:rsid w:val="00CB5608"/>
    <w:rsid w:val="00CB6A4B"/>
    <w:rsid w:val="00CD5E59"/>
    <w:rsid w:val="00CD7FBA"/>
    <w:rsid w:val="00CE3AC8"/>
    <w:rsid w:val="00CE5FFF"/>
    <w:rsid w:val="00CE7614"/>
    <w:rsid w:val="00CF1AD5"/>
    <w:rsid w:val="00CF4933"/>
    <w:rsid w:val="00CF64A2"/>
    <w:rsid w:val="00D02696"/>
    <w:rsid w:val="00D17E89"/>
    <w:rsid w:val="00D23FE7"/>
    <w:rsid w:val="00D259DF"/>
    <w:rsid w:val="00D25D29"/>
    <w:rsid w:val="00D42902"/>
    <w:rsid w:val="00D46E8E"/>
    <w:rsid w:val="00D70ADD"/>
    <w:rsid w:val="00D810C6"/>
    <w:rsid w:val="00D94AD7"/>
    <w:rsid w:val="00D9784C"/>
    <w:rsid w:val="00DA6F09"/>
    <w:rsid w:val="00DB2C30"/>
    <w:rsid w:val="00DC1BBC"/>
    <w:rsid w:val="00DC22D9"/>
    <w:rsid w:val="00DD460E"/>
    <w:rsid w:val="00DE1A54"/>
    <w:rsid w:val="00DE2319"/>
    <w:rsid w:val="00DE39F9"/>
    <w:rsid w:val="00DE4224"/>
    <w:rsid w:val="00DF044D"/>
    <w:rsid w:val="00E04146"/>
    <w:rsid w:val="00E145A0"/>
    <w:rsid w:val="00E30AFF"/>
    <w:rsid w:val="00E318FA"/>
    <w:rsid w:val="00E46B5E"/>
    <w:rsid w:val="00E53717"/>
    <w:rsid w:val="00E53D71"/>
    <w:rsid w:val="00E556E6"/>
    <w:rsid w:val="00E562F3"/>
    <w:rsid w:val="00E660A4"/>
    <w:rsid w:val="00E767EE"/>
    <w:rsid w:val="00E804CB"/>
    <w:rsid w:val="00E8244E"/>
    <w:rsid w:val="00E82A79"/>
    <w:rsid w:val="00E8489B"/>
    <w:rsid w:val="00E97712"/>
    <w:rsid w:val="00EA2755"/>
    <w:rsid w:val="00ED4968"/>
    <w:rsid w:val="00EE5D14"/>
    <w:rsid w:val="00EF0A5E"/>
    <w:rsid w:val="00EF4031"/>
    <w:rsid w:val="00F102AC"/>
    <w:rsid w:val="00F1092D"/>
    <w:rsid w:val="00F12F53"/>
    <w:rsid w:val="00F13650"/>
    <w:rsid w:val="00F164AB"/>
    <w:rsid w:val="00F23C80"/>
    <w:rsid w:val="00F254C6"/>
    <w:rsid w:val="00F26019"/>
    <w:rsid w:val="00F32985"/>
    <w:rsid w:val="00F42883"/>
    <w:rsid w:val="00F53056"/>
    <w:rsid w:val="00F56B2C"/>
    <w:rsid w:val="00F60E50"/>
    <w:rsid w:val="00F73449"/>
    <w:rsid w:val="00F7358B"/>
    <w:rsid w:val="00F84F2A"/>
    <w:rsid w:val="00F857F9"/>
    <w:rsid w:val="00F85D9A"/>
    <w:rsid w:val="00F87BFB"/>
    <w:rsid w:val="00F9066E"/>
    <w:rsid w:val="00FA7CFF"/>
    <w:rsid w:val="00FB1444"/>
    <w:rsid w:val="00FB230D"/>
    <w:rsid w:val="00FB3391"/>
    <w:rsid w:val="00FB4E43"/>
    <w:rsid w:val="00FC0BB0"/>
    <w:rsid w:val="00FD1D38"/>
    <w:rsid w:val="00FD249C"/>
    <w:rsid w:val="00FD5C10"/>
    <w:rsid w:val="01202CF6"/>
    <w:rsid w:val="01DB2A58"/>
    <w:rsid w:val="022F1F12"/>
    <w:rsid w:val="02D93643"/>
    <w:rsid w:val="03551720"/>
    <w:rsid w:val="04BB147A"/>
    <w:rsid w:val="05AF2584"/>
    <w:rsid w:val="06C11D16"/>
    <w:rsid w:val="06C213D6"/>
    <w:rsid w:val="07BA2B0F"/>
    <w:rsid w:val="08036EAB"/>
    <w:rsid w:val="085E18D1"/>
    <w:rsid w:val="09114186"/>
    <w:rsid w:val="09D345B9"/>
    <w:rsid w:val="0A7703EF"/>
    <w:rsid w:val="0B434BC7"/>
    <w:rsid w:val="0B535D02"/>
    <w:rsid w:val="0C3062B2"/>
    <w:rsid w:val="0C347D56"/>
    <w:rsid w:val="0DCB2D36"/>
    <w:rsid w:val="13F1879C"/>
    <w:rsid w:val="142D73E2"/>
    <w:rsid w:val="15FC5975"/>
    <w:rsid w:val="16C3459F"/>
    <w:rsid w:val="17D50963"/>
    <w:rsid w:val="18390516"/>
    <w:rsid w:val="18585C07"/>
    <w:rsid w:val="19A56206"/>
    <w:rsid w:val="1A1B213C"/>
    <w:rsid w:val="1B7700C1"/>
    <w:rsid w:val="1DF75AF1"/>
    <w:rsid w:val="1E745489"/>
    <w:rsid w:val="1F1D3FED"/>
    <w:rsid w:val="1FDE60B4"/>
    <w:rsid w:val="1FEC7C1F"/>
    <w:rsid w:val="1FFA74B7"/>
    <w:rsid w:val="2056188F"/>
    <w:rsid w:val="21E90F92"/>
    <w:rsid w:val="2373049F"/>
    <w:rsid w:val="244A6839"/>
    <w:rsid w:val="24A57D2E"/>
    <w:rsid w:val="264D2AAD"/>
    <w:rsid w:val="27982F44"/>
    <w:rsid w:val="29231866"/>
    <w:rsid w:val="29B36F85"/>
    <w:rsid w:val="2BDF2EF3"/>
    <w:rsid w:val="2C880010"/>
    <w:rsid w:val="2DE00BAB"/>
    <w:rsid w:val="30686CF1"/>
    <w:rsid w:val="30E952C6"/>
    <w:rsid w:val="314D7413"/>
    <w:rsid w:val="32333CD3"/>
    <w:rsid w:val="338A0E9F"/>
    <w:rsid w:val="33C7BB37"/>
    <w:rsid w:val="33E12402"/>
    <w:rsid w:val="35EA2470"/>
    <w:rsid w:val="367450FB"/>
    <w:rsid w:val="37F97C76"/>
    <w:rsid w:val="381322C8"/>
    <w:rsid w:val="3B8E3C00"/>
    <w:rsid w:val="3BDC6F78"/>
    <w:rsid w:val="3BE816C0"/>
    <w:rsid w:val="3BFF7E0D"/>
    <w:rsid w:val="3C5335C6"/>
    <w:rsid w:val="3C673FE2"/>
    <w:rsid w:val="3D0B55E0"/>
    <w:rsid w:val="3E5F6FC1"/>
    <w:rsid w:val="3F0A0D5C"/>
    <w:rsid w:val="3FD46776"/>
    <w:rsid w:val="3FD82D9B"/>
    <w:rsid w:val="426F3BE9"/>
    <w:rsid w:val="428047C6"/>
    <w:rsid w:val="429B6A8D"/>
    <w:rsid w:val="42F354EC"/>
    <w:rsid w:val="43025631"/>
    <w:rsid w:val="43686DC9"/>
    <w:rsid w:val="440867EA"/>
    <w:rsid w:val="44E22D0A"/>
    <w:rsid w:val="456D50EB"/>
    <w:rsid w:val="490463E6"/>
    <w:rsid w:val="49834D8F"/>
    <w:rsid w:val="49B30537"/>
    <w:rsid w:val="4A0C7986"/>
    <w:rsid w:val="4A6E7DFB"/>
    <w:rsid w:val="4B00786B"/>
    <w:rsid w:val="4B5F44F1"/>
    <w:rsid w:val="4CA715E3"/>
    <w:rsid w:val="4DDCD3C4"/>
    <w:rsid w:val="4EC90BA6"/>
    <w:rsid w:val="531C552C"/>
    <w:rsid w:val="56910B31"/>
    <w:rsid w:val="5714288D"/>
    <w:rsid w:val="57605C07"/>
    <w:rsid w:val="586A7EB8"/>
    <w:rsid w:val="58E76643"/>
    <w:rsid w:val="58EF697C"/>
    <w:rsid w:val="59C15888"/>
    <w:rsid w:val="5ADF3577"/>
    <w:rsid w:val="5CA970E2"/>
    <w:rsid w:val="5E6F533F"/>
    <w:rsid w:val="5F3EBDC3"/>
    <w:rsid w:val="5F6763E1"/>
    <w:rsid w:val="5FF13757"/>
    <w:rsid w:val="60CC2198"/>
    <w:rsid w:val="61B16BEF"/>
    <w:rsid w:val="61DC7702"/>
    <w:rsid w:val="625134BE"/>
    <w:rsid w:val="634144E5"/>
    <w:rsid w:val="64160273"/>
    <w:rsid w:val="645702DB"/>
    <w:rsid w:val="64A44AD0"/>
    <w:rsid w:val="64F73464"/>
    <w:rsid w:val="657058AE"/>
    <w:rsid w:val="65D15530"/>
    <w:rsid w:val="66A6323D"/>
    <w:rsid w:val="67C7B682"/>
    <w:rsid w:val="68162B24"/>
    <w:rsid w:val="6B7FAAD7"/>
    <w:rsid w:val="6CB93621"/>
    <w:rsid w:val="6E564210"/>
    <w:rsid w:val="6E77100F"/>
    <w:rsid w:val="6ED525A8"/>
    <w:rsid w:val="726F65FE"/>
    <w:rsid w:val="72AE683A"/>
    <w:rsid w:val="72B529CC"/>
    <w:rsid w:val="75434D7F"/>
    <w:rsid w:val="76051701"/>
    <w:rsid w:val="764B1870"/>
    <w:rsid w:val="76C57BB4"/>
    <w:rsid w:val="791A0DE9"/>
    <w:rsid w:val="7B001FB2"/>
    <w:rsid w:val="7B852933"/>
    <w:rsid w:val="7BE47674"/>
    <w:rsid w:val="7BFB5C42"/>
    <w:rsid w:val="7CD03FBB"/>
    <w:rsid w:val="7CEBB1A6"/>
    <w:rsid w:val="7CFB4A6D"/>
    <w:rsid w:val="7D2E7DA7"/>
    <w:rsid w:val="7DDFDC97"/>
    <w:rsid w:val="7DE1942C"/>
    <w:rsid w:val="7E5E5B9B"/>
    <w:rsid w:val="7E9F0935"/>
    <w:rsid w:val="7FBF578E"/>
    <w:rsid w:val="7FDACAA2"/>
    <w:rsid w:val="7FFBF407"/>
    <w:rsid w:val="9BCF1905"/>
    <w:rsid w:val="B27F3D3E"/>
    <w:rsid w:val="BFD5FA19"/>
    <w:rsid w:val="CBBF7BD8"/>
    <w:rsid w:val="CFAE0EBD"/>
    <w:rsid w:val="DB696221"/>
    <w:rsid w:val="E849EBDB"/>
    <w:rsid w:val="EAF7264A"/>
    <w:rsid w:val="EF7FD45F"/>
    <w:rsid w:val="EFFF0C93"/>
    <w:rsid w:val="F36E1DB2"/>
    <w:rsid w:val="F3BE14F1"/>
    <w:rsid w:val="F76DCC64"/>
    <w:rsid w:val="FB339D48"/>
    <w:rsid w:val="FBAE4F11"/>
    <w:rsid w:val="FBD2ADA2"/>
    <w:rsid w:val="FBFF676C"/>
    <w:rsid w:val="FDFE9727"/>
    <w:rsid w:val="FFFB05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spacing w:line="578" w:lineRule="auto"/>
      <w:outlineLvl w:val="0"/>
    </w:pPr>
    <w:rPr>
      <w:b/>
      <w:bCs/>
      <w:kern w:val="44"/>
      <w:sz w:val="24"/>
      <w:szCs w:val="44"/>
    </w:rPr>
  </w:style>
  <w:style w:type="paragraph" w:styleId="3">
    <w:name w:val="heading 2"/>
    <w:basedOn w:val="1"/>
    <w:next w:val="1"/>
    <w:link w:val="39"/>
    <w:qFormat/>
    <w:uiPriority w:val="9"/>
    <w:pPr>
      <w:keepNext/>
      <w:keepLines/>
      <w:spacing w:before="260" w:after="260" w:line="413" w:lineRule="auto"/>
      <w:outlineLvl w:val="1"/>
    </w:pPr>
    <w:rPr>
      <w:rFonts w:ascii="Arial" w:hAnsi="Arial" w:eastAsia="仿宋"/>
      <w:sz w:val="24"/>
    </w:rPr>
  </w:style>
  <w:style w:type="paragraph" w:styleId="4">
    <w:name w:val="heading 3"/>
    <w:basedOn w:val="1"/>
    <w:next w:val="1"/>
    <w:link w:val="40"/>
    <w:unhideWhenUsed/>
    <w:qFormat/>
    <w:uiPriority w:val="9"/>
    <w:pPr>
      <w:keepNext/>
      <w:keepLines/>
      <w:spacing w:before="260" w:after="260" w:line="416" w:lineRule="auto"/>
      <w:outlineLvl w:val="2"/>
    </w:pPr>
    <w:rPr>
      <w:rFonts w:asciiTheme="minorHAnsi" w:hAnsiTheme="minorHAnsi" w:eastAsiaTheme="minorEastAsia" w:cstheme="minorBidi"/>
      <w:bCs/>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Theme="minorHAnsi" w:hAnsiTheme="minorHAnsi" w:cstheme="minorHAnsi"/>
      <w:sz w:val="20"/>
      <w:szCs w:val="20"/>
    </w:rPr>
  </w:style>
  <w:style w:type="paragraph" w:styleId="7">
    <w:name w:val="Document Map"/>
    <w:basedOn w:val="1"/>
    <w:link w:val="51"/>
    <w:unhideWhenUsed/>
    <w:qFormat/>
    <w:uiPriority w:val="99"/>
    <w:rPr>
      <w:rFonts w:ascii="宋体"/>
      <w:sz w:val="18"/>
      <w:szCs w:val="18"/>
    </w:rPr>
  </w:style>
  <w:style w:type="paragraph" w:styleId="8">
    <w:name w:val="Block Text"/>
    <w:basedOn w:val="1"/>
    <w:qFormat/>
    <w:uiPriority w:val="0"/>
    <w:pPr>
      <w:spacing w:line="480" w:lineRule="exact"/>
      <w:ind w:left="540" w:right="45" w:hanging="540"/>
    </w:pPr>
    <w:rPr>
      <w:rFonts w:ascii="黑体" w:eastAsia="黑体"/>
      <w:sz w:val="30"/>
      <w:szCs w:val="20"/>
    </w:rPr>
  </w:style>
  <w:style w:type="paragraph" w:styleId="9">
    <w:name w:val="toc 5"/>
    <w:basedOn w:val="1"/>
    <w:next w:val="1"/>
    <w:unhideWhenUsed/>
    <w:qFormat/>
    <w:uiPriority w:val="39"/>
    <w:pPr>
      <w:ind w:left="840"/>
      <w:jc w:val="left"/>
    </w:pPr>
    <w:rPr>
      <w:rFonts w:asciiTheme="minorHAnsi" w:hAnsiTheme="minorHAnsi" w:cstheme="minorHAnsi"/>
      <w:sz w:val="20"/>
      <w:szCs w:val="20"/>
    </w:rPr>
  </w:style>
  <w:style w:type="paragraph" w:styleId="10">
    <w:name w:val="toc 3"/>
    <w:basedOn w:val="1"/>
    <w:next w:val="1"/>
    <w:unhideWhenUsed/>
    <w:qFormat/>
    <w:uiPriority w:val="39"/>
    <w:pPr>
      <w:ind w:left="420"/>
      <w:jc w:val="left"/>
    </w:pPr>
    <w:rPr>
      <w:rFonts w:asciiTheme="minorHAnsi" w:hAnsiTheme="minorHAnsi" w:cstheme="minorHAnsi"/>
      <w:szCs w:val="20"/>
    </w:rPr>
  </w:style>
  <w:style w:type="paragraph" w:styleId="11">
    <w:name w:val="toc 8"/>
    <w:basedOn w:val="1"/>
    <w:next w:val="1"/>
    <w:unhideWhenUsed/>
    <w:qFormat/>
    <w:uiPriority w:val="39"/>
    <w:pPr>
      <w:ind w:left="1470"/>
      <w:jc w:val="left"/>
    </w:pPr>
    <w:rPr>
      <w:rFonts w:asciiTheme="minorHAnsi" w:hAnsiTheme="minorHAnsi" w:cstheme="minorHAnsi"/>
      <w:sz w:val="20"/>
      <w:szCs w:val="20"/>
    </w:rPr>
  </w:style>
  <w:style w:type="paragraph" w:styleId="12">
    <w:name w:val="Balloon Text"/>
    <w:basedOn w:val="1"/>
    <w:link w:val="42"/>
    <w:unhideWhenUsed/>
    <w:qFormat/>
    <w:uiPriority w:val="99"/>
    <w:rPr>
      <w:sz w:val="18"/>
      <w:szCs w:val="18"/>
    </w:rPr>
  </w:style>
  <w:style w:type="paragraph" w:styleId="13">
    <w:name w:val="footer"/>
    <w:basedOn w:val="1"/>
    <w:link w:val="36"/>
    <w:unhideWhenUsed/>
    <w:qFormat/>
    <w:uiPriority w:val="99"/>
    <w:pPr>
      <w:tabs>
        <w:tab w:val="center" w:pos="4153"/>
        <w:tab w:val="right" w:pos="8306"/>
      </w:tabs>
      <w:snapToGrid w:val="0"/>
      <w:jc w:val="left"/>
    </w:pPr>
    <w:rPr>
      <w:sz w:val="18"/>
      <w:szCs w:val="18"/>
    </w:rPr>
  </w:style>
  <w:style w:type="paragraph" w:styleId="14">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spacing w:before="240" w:after="120"/>
      <w:jc w:val="left"/>
    </w:pPr>
    <w:rPr>
      <w:rFonts w:asciiTheme="minorHAnsi" w:hAnsiTheme="minorHAnsi" w:cstheme="minorHAnsi"/>
      <w:b/>
      <w:bCs/>
      <w:sz w:val="24"/>
      <w:szCs w:val="20"/>
    </w:rPr>
  </w:style>
  <w:style w:type="paragraph" w:styleId="16">
    <w:name w:val="toc 4"/>
    <w:basedOn w:val="1"/>
    <w:next w:val="1"/>
    <w:unhideWhenUsed/>
    <w:qFormat/>
    <w:uiPriority w:val="39"/>
    <w:pPr>
      <w:ind w:left="630"/>
      <w:jc w:val="left"/>
    </w:pPr>
    <w:rPr>
      <w:rFonts w:asciiTheme="minorHAnsi" w:hAnsiTheme="minorHAnsi" w:cstheme="minorHAnsi"/>
      <w:sz w:val="20"/>
      <w:szCs w:val="20"/>
    </w:rPr>
  </w:style>
  <w:style w:type="paragraph" w:styleId="17">
    <w:name w:val="footnote text"/>
    <w:basedOn w:val="1"/>
    <w:link w:val="30"/>
    <w:semiHidden/>
    <w:qFormat/>
    <w:uiPriority w:val="0"/>
    <w:pPr>
      <w:snapToGrid w:val="0"/>
      <w:jc w:val="left"/>
    </w:pPr>
    <w:rPr>
      <w:rFonts w:ascii="Calibri" w:hAnsi="Calibri" w:cstheme="minorBidi"/>
      <w:sz w:val="18"/>
      <w:szCs w:val="18"/>
    </w:rPr>
  </w:style>
  <w:style w:type="paragraph" w:styleId="18">
    <w:name w:val="toc 6"/>
    <w:basedOn w:val="1"/>
    <w:next w:val="1"/>
    <w:unhideWhenUsed/>
    <w:qFormat/>
    <w:uiPriority w:val="39"/>
    <w:pPr>
      <w:ind w:left="1050"/>
      <w:jc w:val="left"/>
    </w:pPr>
    <w:rPr>
      <w:rFonts w:asciiTheme="minorHAnsi" w:hAnsiTheme="minorHAnsi" w:cstheme="minorHAnsi"/>
      <w:sz w:val="20"/>
      <w:szCs w:val="20"/>
    </w:rPr>
  </w:style>
  <w:style w:type="paragraph" w:styleId="19">
    <w:name w:val="toc 2"/>
    <w:basedOn w:val="1"/>
    <w:next w:val="1"/>
    <w:qFormat/>
    <w:uiPriority w:val="39"/>
    <w:pPr>
      <w:spacing w:before="120"/>
      <w:ind w:left="210"/>
      <w:jc w:val="left"/>
    </w:pPr>
    <w:rPr>
      <w:rFonts w:asciiTheme="minorHAnsi" w:hAnsiTheme="minorHAnsi" w:cstheme="minorHAnsi"/>
      <w:iCs/>
      <w:szCs w:val="20"/>
    </w:rPr>
  </w:style>
  <w:style w:type="paragraph" w:styleId="20">
    <w:name w:val="toc 9"/>
    <w:basedOn w:val="1"/>
    <w:next w:val="1"/>
    <w:unhideWhenUsed/>
    <w:qFormat/>
    <w:uiPriority w:val="39"/>
    <w:pPr>
      <w:ind w:left="1680"/>
      <w:jc w:val="left"/>
    </w:pPr>
    <w:rPr>
      <w:rFonts w:asciiTheme="minorHAnsi" w:hAnsiTheme="minorHAnsi" w:cstheme="minorHAnsi"/>
      <w:sz w:val="20"/>
      <w:szCs w:val="20"/>
    </w:rPr>
  </w:style>
  <w:style w:type="paragraph" w:styleId="21">
    <w:name w:val="Normal (Web)"/>
    <w:basedOn w:val="1"/>
    <w:unhideWhenUsed/>
    <w:qFormat/>
    <w:uiPriority w:val="99"/>
    <w:pPr>
      <w:widowControl/>
      <w:spacing w:before="75" w:after="75"/>
      <w:jc w:val="left"/>
    </w:pPr>
    <w:rPr>
      <w:rFonts w:ascii="宋体" w:hAnsi="宋体" w:cs="宋体"/>
      <w:kern w:val="0"/>
      <w:sz w:val="24"/>
    </w:rPr>
  </w:style>
  <w:style w:type="paragraph" w:styleId="22">
    <w:name w:val="Title"/>
    <w:basedOn w:val="1"/>
    <w:next w:val="1"/>
    <w:link w:val="47"/>
    <w:qFormat/>
    <w:uiPriority w:val="10"/>
    <w:pPr>
      <w:spacing w:before="240" w:after="60"/>
      <w:jc w:val="center"/>
      <w:outlineLvl w:val="0"/>
    </w:pPr>
    <w:rPr>
      <w:rFonts w:asciiTheme="majorHAnsi" w:hAnsiTheme="majorHAnsi" w:cstheme="majorBidi"/>
      <w:b/>
      <w:bCs/>
      <w:sz w:val="32"/>
      <w:szCs w:val="32"/>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6">
    <w:name w:val="Strong"/>
    <w:basedOn w:val="25"/>
    <w:qFormat/>
    <w:uiPriority w:val="0"/>
    <w:rPr>
      <w:b/>
      <w:bCs/>
    </w:rPr>
  </w:style>
  <w:style w:type="character" w:styleId="27">
    <w:name w:val="page number"/>
    <w:basedOn w:val="25"/>
    <w:qFormat/>
    <w:uiPriority w:val="0"/>
  </w:style>
  <w:style w:type="character" w:styleId="28">
    <w:name w:val="Hyperlink"/>
    <w:unhideWhenUsed/>
    <w:qFormat/>
    <w:uiPriority w:val="99"/>
    <w:rPr>
      <w:rFonts w:hint="eastAsia" w:ascii="宋体" w:hAnsi="宋体" w:eastAsia="宋体"/>
      <w:color w:val="141414"/>
      <w:u w:val="none"/>
    </w:rPr>
  </w:style>
  <w:style w:type="character" w:styleId="29">
    <w:name w:val="footnote reference"/>
    <w:semiHidden/>
    <w:qFormat/>
    <w:uiPriority w:val="0"/>
    <w:rPr>
      <w:rFonts w:hint="default" w:ascii="Times New Roman" w:hAnsi="Times New Roman" w:cs="Times New Roman"/>
      <w:vertAlign w:val="superscript"/>
    </w:rPr>
  </w:style>
  <w:style w:type="character" w:customStyle="1" w:styleId="30">
    <w:name w:val="脚注文本 Char"/>
    <w:link w:val="17"/>
    <w:semiHidden/>
    <w:qFormat/>
    <w:locked/>
    <w:uiPriority w:val="0"/>
    <w:rPr>
      <w:rFonts w:ascii="Calibri" w:hAnsi="Calibri" w:eastAsia="宋体"/>
      <w:sz w:val="18"/>
      <w:szCs w:val="18"/>
    </w:rPr>
  </w:style>
  <w:style w:type="character" w:customStyle="1" w:styleId="31">
    <w:name w:val="脚注文本 Char1"/>
    <w:basedOn w:val="25"/>
    <w:semiHidden/>
    <w:qFormat/>
    <w:uiPriority w:val="99"/>
    <w:rPr>
      <w:rFonts w:ascii="Times New Roman" w:hAnsi="Times New Roman" w:eastAsia="宋体" w:cs="Times New Roman"/>
      <w:sz w:val="18"/>
      <w:szCs w:val="18"/>
    </w:rPr>
  </w:style>
  <w:style w:type="paragraph" w:customStyle="1" w:styleId="32">
    <w:name w:val="列出段落1"/>
    <w:basedOn w:val="1"/>
    <w:qFormat/>
    <w:uiPriority w:val="0"/>
    <w:pPr>
      <w:ind w:firstLine="200" w:firstLineChars="200"/>
    </w:pPr>
    <w:rPr>
      <w:rFonts w:ascii="Calibri" w:hAnsi="Calibri"/>
      <w:szCs w:val="22"/>
    </w:rPr>
  </w:style>
  <w:style w:type="paragraph" w:customStyle="1" w:styleId="33">
    <w:name w:val="List Paragraph"/>
    <w:basedOn w:val="1"/>
    <w:link w:val="43"/>
    <w:qFormat/>
    <w:uiPriority w:val="34"/>
    <w:pPr>
      <w:ind w:firstLine="420" w:firstLineChars="200"/>
    </w:pPr>
    <w:rPr>
      <w:rFonts w:ascii="Calibri" w:hAnsi="Calibri"/>
      <w:szCs w:val="22"/>
    </w:rPr>
  </w:style>
  <w:style w:type="paragraph" w:customStyle="1" w:styleId="34">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35">
    <w:name w:val="页眉 Char"/>
    <w:basedOn w:val="25"/>
    <w:link w:val="14"/>
    <w:qFormat/>
    <w:uiPriority w:val="99"/>
    <w:rPr>
      <w:rFonts w:ascii="Times New Roman" w:hAnsi="Times New Roman" w:eastAsia="宋体" w:cs="Times New Roman"/>
      <w:sz w:val="18"/>
      <w:szCs w:val="18"/>
    </w:rPr>
  </w:style>
  <w:style w:type="character" w:customStyle="1" w:styleId="36">
    <w:name w:val="页脚 Char"/>
    <w:basedOn w:val="25"/>
    <w:link w:val="13"/>
    <w:qFormat/>
    <w:uiPriority w:val="99"/>
    <w:rPr>
      <w:rFonts w:ascii="Times New Roman" w:hAnsi="Times New Roman" w:eastAsia="宋体" w:cs="Times New Roman"/>
      <w:sz w:val="18"/>
      <w:szCs w:val="18"/>
    </w:rPr>
  </w:style>
  <w:style w:type="paragraph" w:customStyle="1" w:styleId="37">
    <w:name w:val="lm_zt"/>
    <w:basedOn w:val="1"/>
    <w:qFormat/>
    <w:uiPriority w:val="0"/>
    <w:pPr>
      <w:widowControl/>
      <w:spacing w:before="100" w:beforeAutospacing="1" w:after="100" w:afterAutospacing="1"/>
      <w:jc w:val="left"/>
    </w:pPr>
    <w:rPr>
      <w:rFonts w:ascii="宋体" w:hAnsi="宋体" w:cs="宋体"/>
      <w:b/>
      <w:bCs/>
      <w:kern w:val="0"/>
      <w:sz w:val="30"/>
      <w:szCs w:val="30"/>
    </w:rPr>
  </w:style>
  <w:style w:type="character" w:customStyle="1" w:styleId="38">
    <w:name w:val="标题 1 Char"/>
    <w:basedOn w:val="25"/>
    <w:link w:val="2"/>
    <w:qFormat/>
    <w:uiPriority w:val="0"/>
    <w:rPr>
      <w:rFonts w:ascii="Times New Roman" w:hAnsi="Times New Roman" w:eastAsia="宋体" w:cs="Times New Roman"/>
      <w:b/>
      <w:bCs/>
      <w:kern w:val="44"/>
      <w:sz w:val="24"/>
      <w:szCs w:val="44"/>
    </w:rPr>
  </w:style>
  <w:style w:type="character" w:customStyle="1" w:styleId="39">
    <w:name w:val="标题 2 Char"/>
    <w:basedOn w:val="25"/>
    <w:link w:val="3"/>
    <w:qFormat/>
    <w:uiPriority w:val="9"/>
    <w:rPr>
      <w:rFonts w:ascii="Arial" w:hAnsi="Arial" w:eastAsia="仿宋" w:cs="Times New Roman"/>
      <w:sz w:val="24"/>
      <w:szCs w:val="24"/>
    </w:rPr>
  </w:style>
  <w:style w:type="character" w:customStyle="1" w:styleId="40">
    <w:name w:val="标题 3 Char"/>
    <w:basedOn w:val="25"/>
    <w:link w:val="4"/>
    <w:qFormat/>
    <w:uiPriority w:val="9"/>
    <w:rPr>
      <w:bCs/>
      <w:sz w:val="24"/>
      <w:szCs w:val="24"/>
    </w:rPr>
  </w:style>
  <w:style w:type="paragraph" w:customStyle="1" w:styleId="41">
    <w:name w:val="Char"/>
    <w:basedOn w:val="1"/>
    <w:qFormat/>
    <w:uiPriority w:val="0"/>
    <w:rPr>
      <w:rFonts w:ascii="Tahoma" w:hAnsi="Tahoma"/>
      <w:sz w:val="24"/>
      <w:szCs w:val="20"/>
    </w:rPr>
  </w:style>
  <w:style w:type="character" w:customStyle="1" w:styleId="42">
    <w:name w:val="批注框文本 Char"/>
    <w:basedOn w:val="25"/>
    <w:link w:val="12"/>
    <w:semiHidden/>
    <w:qFormat/>
    <w:uiPriority w:val="99"/>
    <w:rPr>
      <w:rFonts w:ascii="Times New Roman" w:hAnsi="Times New Roman" w:eastAsia="宋体" w:cs="Times New Roman"/>
      <w:sz w:val="18"/>
      <w:szCs w:val="18"/>
    </w:rPr>
  </w:style>
  <w:style w:type="character" w:customStyle="1" w:styleId="43">
    <w:name w:val="列出段落 Char"/>
    <w:link w:val="33"/>
    <w:qFormat/>
    <w:locked/>
    <w:uiPriority w:val="34"/>
    <w:rPr>
      <w:rFonts w:ascii="Calibri" w:hAnsi="Calibri" w:eastAsia="宋体" w:cs="Times New Roman"/>
    </w:rPr>
  </w:style>
  <w:style w:type="character" w:customStyle="1" w:styleId="44">
    <w:name w:val="页眉 Char1"/>
    <w:basedOn w:val="25"/>
    <w:qFormat/>
    <w:uiPriority w:val="99"/>
    <w:rPr>
      <w:rFonts w:ascii="Times New Roman" w:hAnsi="Times New Roman" w:eastAsia="宋体" w:cs="Times New Roman"/>
      <w:sz w:val="18"/>
      <w:szCs w:val="18"/>
    </w:rPr>
  </w:style>
  <w:style w:type="character" w:customStyle="1" w:styleId="45">
    <w:name w:val="页脚 Char1"/>
    <w:basedOn w:val="25"/>
    <w:qFormat/>
    <w:uiPriority w:val="99"/>
    <w:rPr>
      <w:rFonts w:ascii="Times New Roman" w:hAnsi="Times New Roman" w:eastAsia="宋体" w:cs="Times New Roman"/>
      <w:sz w:val="18"/>
      <w:szCs w:val="18"/>
    </w:rPr>
  </w:style>
  <w:style w:type="paragraph" w:customStyle="1" w:styleId="46">
    <w:name w:val="all"/>
    <w:basedOn w:val="1"/>
    <w:qFormat/>
    <w:uiPriority w:val="0"/>
    <w:pPr>
      <w:widowControl/>
      <w:spacing w:before="100" w:beforeAutospacing="1" w:after="100" w:afterAutospacing="1"/>
      <w:jc w:val="left"/>
    </w:pPr>
    <w:rPr>
      <w:rFonts w:hint="eastAsia" w:ascii="宋体" w:hAnsi="宋体"/>
      <w:kern w:val="0"/>
      <w:sz w:val="24"/>
    </w:rPr>
  </w:style>
  <w:style w:type="character" w:customStyle="1" w:styleId="47">
    <w:name w:val="标题 Char"/>
    <w:basedOn w:val="25"/>
    <w:link w:val="22"/>
    <w:qFormat/>
    <w:uiPriority w:val="10"/>
    <w:rPr>
      <w:rFonts w:eastAsia="宋体" w:asciiTheme="majorHAnsi" w:hAnsiTheme="majorHAnsi" w:cstheme="majorBidi"/>
      <w:b/>
      <w:bCs/>
      <w:sz w:val="32"/>
      <w:szCs w:val="32"/>
    </w:rPr>
  </w:style>
  <w:style w:type="paragraph" w:customStyle="1" w:styleId="48">
    <w:name w:val="No Spacing"/>
    <w:link w:val="49"/>
    <w:qFormat/>
    <w:uiPriority w:val="1"/>
    <w:pPr>
      <w:jc w:val="both"/>
    </w:pPr>
    <w:rPr>
      <w:rFonts w:ascii="宋体" w:hAnsi="宋体" w:eastAsia="宋体" w:cs="Times New Roman"/>
      <w:sz w:val="21"/>
      <w:szCs w:val="21"/>
      <w:lang w:val="en-US" w:eastAsia="en-US" w:bidi="en-US"/>
    </w:rPr>
  </w:style>
  <w:style w:type="character" w:customStyle="1" w:styleId="49">
    <w:name w:val="无间隔 Char"/>
    <w:basedOn w:val="25"/>
    <w:link w:val="48"/>
    <w:qFormat/>
    <w:uiPriority w:val="1"/>
    <w:rPr>
      <w:rFonts w:ascii="宋体" w:hAnsi="宋体" w:eastAsia="宋体" w:cs="Times New Roman"/>
      <w:kern w:val="0"/>
      <w:szCs w:val="21"/>
      <w:lang w:eastAsia="en-US" w:bidi="en-US"/>
    </w:rPr>
  </w:style>
  <w:style w:type="paragraph" w:customStyle="1" w:styleId="50">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1">
    <w:name w:val="文档结构图 Char"/>
    <w:basedOn w:val="25"/>
    <w:link w:val="7"/>
    <w:semiHidden/>
    <w:qFormat/>
    <w:uiPriority w:val="99"/>
    <w:rPr>
      <w:rFonts w:ascii="宋体" w:hAnsi="Times New Roman" w:eastAsia="宋体" w:cs="Times New Roman"/>
      <w:sz w:val="18"/>
      <w:szCs w:val="18"/>
    </w:rPr>
  </w:style>
  <w:style w:type="paragraph" w:customStyle="1" w:styleId="52">
    <w:name w:val="样式11"/>
    <w:basedOn w:val="1"/>
    <w:qFormat/>
    <w:uiPriority w:val="0"/>
    <w:pPr>
      <w:autoSpaceDE w:val="0"/>
      <w:autoSpaceDN w:val="0"/>
      <w:snapToGrid w:val="0"/>
      <w:spacing w:line="567" w:lineRule="exact"/>
      <w:ind w:firstLine="200" w:firstLineChars="200"/>
    </w:pPr>
    <w:rPr>
      <w:rFonts w:eastAsia="方正黑体_GBK"/>
      <w:sz w:val="32"/>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3981</Words>
  <Characters>22694</Characters>
  <Lines>189</Lines>
  <Paragraphs>53</Paragraphs>
  <TotalTime>8</TotalTime>
  <ScaleCrop>false</ScaleCrop>
  <LinksUpToDate>false</LinksUpToDate>
  <CharactersWithSpaces>26622</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2017-11-21T23:55:00Z</dcterms:created>
  <dc:creator>sjxy</dc:creator>
  <cp:lastModifiedBy>Wanglanying</cp:lastModifiedBy>
  <cp:lastPrinted>2017-11-22T06:14:00Z</cp:lastPrinted>
  <dcterms:modified xsi:type="dcterms:W3CDTF">2019-05-14T02:40:24Z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