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46" w:rsidRPr="00811007" w:rsidRDefault="00195413" w:rsidP="00811007">
      <w:pPr>
        <w:pStyle w:val="1"/>
        <w:jc w:val="center"/>
      </w:pPr>
      <w:r w:rsidRPr="00811007">
        <w:rPr>
          <w:rFonts w:hint="eastAsia"/>
        </w:rPr>
        <w:t>商学院</w:t>
      </w:r>
      <w:r w:rsidR="00D94946" w:rsidRPr="00811007">
        <w:t>201</w:t>
      </w:r>
      <w:r w:rsidR="00D94946" w:rsidRPr="00811007">
        <w:rPr>
          <w:rFonts w:hint="eastAsia"/>
        </w:rPr>
        <w:t>7</w:t>
      </w:r>
      <w:r w:rsidR="00D94946" w:rsidRPr="00811007">
        <w:t>年</w:t>
      </w:r>
      <w:r w:rsidRPr="00811007">
        <w:rPr>
          <w:rFonts w:hint="eastAsia"/>
        </w:rPr>
        <w:t>教风</w:t>
      </w:r>
      <w:r w:rsidR="00D94946" w:rsidRPr="00811007">
        <w:t>学风建设活动月</w:t>
      </w:r>
      <w:r w:rsidRPr="00811007">
        <w:rPr>
          <w:rFonts w:hint="eastAsia"/>
        </w:rPr>
        <w:t>方案</w:t>
      </w:r>
    </w:p>
    <w:p w:rsidR="00D94946" w:rsidRDefault="00C97B16" w:rsidP="00811007">
      <w:pPr>
        <w:pStyle w:val="1"/>
      </w:pPr>
      <w:r w:rsidRPr="00811007">
        <w:t>根据</w:t>
      </w:r>
      <w:r w:rsidRPr="00811007">
        <w:rPr>
          <w:rFonts w:hint="eastAsia"/>
        </w:rPr>
        <w:t>三江学院《关于开展2017年度教风学风建设月活动的通知》（校教字【2017】56号；校学字【2017】24号），为落实2017年学校教学工作要点，</w:t>
      </w:r>
      <w:r w:rsidR="00800F19" w:rsidRPr="009A00F0">
        <w:rPr>
          <w:rFonts w:asciiTheme="minorEastAsia" w:eastAsiaTheme="minorEastAsia" w:hAnsiTheme="minorEastAsia" w:hint="eastAsia"/>
        </w:rPr>
        <w:t>进一步优化育人环境，提高教育教学质量，提高我校教风和学风建设水平，现根据学校“教风学风建设月活动”工作部署有关精神，</w:t>
      </w:r>
      <w:r w:rsidR="00195413" w:rsidRPr="00811007">
        <w:rPr>
          <w:rFonts w:hint="eastAsia"/>
        </w:rPr>
        <w:t>制定商学院2017年度学风建设月活动方案。</w:t>
      </w:r>
    </w:p>
    <w:p w:rsidR="00800F19" w:rsidRPr="00800F19" w:rsidRDefault="00800F19" w:rsidP="00800F19">
      <w:pPr>
        <w:pStyle w:val="1"/>
      </w:pPr>
      <w:r w:rsidRPr="00800F19">
        <w:rPr>
          <w:rFonts w:hint="eastAsia"/>
        </w:rPr>
        <w:t>一、组织领导</w:t>
      </w:r>
    </w:p>
    <w:p w:rsidR="00800F19" w:rsidRPr="00800F19" w:rsidRDefault="00800F19" w:rsidP="00800F19">
      <w:pPr>
        <w:pStyle w:val="1"/>
      </w:pPr>
      <w:r w:rsidRPr="00800F19">
        <w:rPr>
          <w:rFonts w:hint="eastAsia"/>
        </w:rPr>
        <w:t>学院成立教风、学风建设月活动领导小组，组成人员如下：</w:t>
      </w:r>
    </w:p>
    <w:p w:rsidR="00800F19" w:rsidRPr="00800F19" w:rsidRDefault="00800F19" w:rsidP="00800F19">
      <w:pPr>
        <w:pStyle w:val="1"/>
      </w:pPr>
      <w:r w:rsidRPr="00800F19">
        <w:rPr>
          <w:rFonts w:hint="eastAsia"/>
        </w:rPr>
        <w:t>组长：蒋建华</w:t>
      </w:r>
    </w:p>
    <w:p w:rsidR="00800F19" w:rsidRPr="00800F19" w:rsidRDefault="00800F19" w:rsidP="00800F19">
      <w:pPr>
        <w:pStyle w:val="1"/>
      </w:pPr>
      <w:r w:rsidRPr="00800F19">
        <w:rPr>
          <w:rFonts w:hint="eastAsia"/>
        </w:rPr>
        <w:t>副组长：张燕</w:t>
      </w:r>
      <w:r>
        <w:rPr>
          <w:rFonts w:hint="eastAsia"/>
        </w:rPr>
        <w:t xml:space="preserve">  </w:t>
      </w:r>
      <w:r w:rsidRPr="00800F19">
        <w:rPr>
          <w:rFonts w:hint="eastAsia"/>
        </w:rPr>
        <w:t xml:space="preserve">刘万美 </w:t>
      </w:r>
      <w:r w:rsidR="003F04FA">
        <w:rPr>
          <w:rFonts w:hint="eastAsia"/>
        </w:rPr>
        <w:t xml:space="preserve"> </w:t>
      </w:r>
      <w:r w:rsidRPr="00800F19">
        <w:rPr>
          <w:rFonts w:hint="eastAsia"/>
        </w:rPr>
        <w:t>康丽</w:t>
      </w:r>
    </w:p>
    <w:p w:rsidR="00800F19" w:rsidRPr="00800F19" w:rsidRDefault="00800F19" w:rsidP="00800F19">
      <w:pPr>
        <w:pStyle w:val="1"/>
      </w:pPr>
      <w:r w:rsidRPr="00800F19">
        <w:rPr>
          <w:rFonts w:hint="eastAsia"/>
        </w:rPr>
        <w:t>成员： 李益平 张晓锋 施乾信  竺杏月 顾艳  周平根 代蕾 戴雪艳  肖文圣 郭怀照 杨静 马丽君 柏凌 李佳</w:t>
      </w:r>
    </w:p>
    <w:p w:rsidR="00800F19" w:rsidRPr="00800F19" w:rsidRDefault="00800F19" w:rsidP="00800F19">
      <w:pPr>
        <w:pStyle w:val="1"/>
      </w:pPr>
      <w:r w:rsidRPr="00800F19">
        <w:rPr>
          <w:rFonts w:hint="eastAsia"/>
        </w:rPr>
        <w:t>秘书：章立萍</w:t>
      </w:r>
    </w:p>
    <w:p w:rsidR="00800F19" w:rsidRDefault="00800F19" w:rsidP="00811007">
      <w:pPr>
        <w:pStyle w:val="1"/>
      </w:pPr>
      <w:r>
        <w:rPr>
          <w:rFonts w:hint="eastAsia"/>
        </w:rPr>
        <w:t>二、活动实施主要内容及要求</w:t>
      </w:r>
    </w:p>
    <w:p w:rsidR="0069297D" w:rsidRDefault="00800F19" w:rsidP="00800F19">
      <w:pPr>
        <w:pStyle w:val="1"/>
      </w:pPr>
      <w:r>
        <w:rPr>
          <w:rFonts w:hint="eastAsia"/>
        </w:rPr>
        <w:t>（一）</w:t>
      </w:r>
      <w:r w:rsidRPr="00800F19">
        <w:rPr>
          <w:rFonts w:hint="eastAsia"/>
        </w:rPr>
        <w:t>动员宣传，强化意识。</w:t>
      </w:r>
    </w:p>
    <w:p w:rsidR="00800F19" w:rsidRDefault="00800F19" w:rsidP="00800F19">
      <w:pPr>
        <w:pStyle w:val="1"/>
      </w:pPr>
      <w:r>
        <w:rPr>
          <w:rFonts w:hint="eastAsia"/>
        </w:rPr>
        <w:t>分院系两级</w:t>
      </w:r>
      <w:r w:rsidRPr="00800F19">
        <w:rPr>
          <w:rFonts w:hint="eastAsia"/>
        </w:rPr>
        <w:t>召开教风、学风建设月活动动员</w:t>
      </w:r>
      <w:r>
        <w:rPr>
          <w:rFonts w:hint="eastAsia"/>
        </w:rPr>
        <w:t>及宣传</w:t>
      </w:r>
      <w:r w:rsidRPr="00800F19">
        <w:rPr>
          <w:rFonts w:hint="eastAsia"/>
        </w:rPr>
        <w:t>会，引导教师积极参与教风学风建设活动，做到教书育人，以优良的教风促进学风建设，引导学生把主要精力集中到专业学</w:t>
      </w:r>
      <w:r w:rsidRPr="00800F19">
        <w:rPr>
          <w:rFonts w:hint="eastAsia"/>
        </w:rPr>
        <w:lastRenderedPageBreak/>
        <w:t>习和提高素质上来。围绕教风学风建设主题，充分利用微信公众号、网站等形式和载体宣传教风、学风建设目的和意义，营造“人人参与创建优良教风学风”的良好氛围。</w:t>
      </w:r>
    </w:p>
    <w:p w:rsidR="00800F19" w:rsidRPr="00800F19" w:rsidRDefault="00800F19" w:rsidP="00800F19">
      <w:pPr>
        <w:pStyle w:val="1"/>
      </w:pPr>
      <w:r>
        <w:rPr>
          <w:rFonts w:hint="eastAsia"/>
        </w:rPr>
        <w:t>（二）分头行动，强化落实</w:t>
      </w:r>
    </w:p>
    <w:p w:rsidR="00D94946" w:rsidRPr="00811007" w:rsidRDefault="00800F19" w:rsidP="00800F19">
      <w:pPr>
        <w:pStyle w:val="1"/>
        <w:ind w:firstLineChars="250" w:firstLine="800"/>
      </w:pPr>
      <w:r>
        <w:rPr>
          <w:rFonts w:hint="eastAsia"/>
        </w:rPr>
        <w:t>1.</w:t>
      </w:r>
      <w:r w:rsidR="00D94946" w:rsidRPr="00811007">
        <w:rPr>
          <w:rFonts w:hint="eastAsia"/>
        </w:rPr>
        <w:t>学生</w:t>
      </w:r>
    </w:p>
    <w:p w:rsidR="00D94946" w:rsidRPr="00811007" w:rsidRDefault="00D94946" w:rsidP="006D0790">
      <w:pPr>
        <w:pStyle w:val="1"/>
        <w:ind w:firstLineChars="223" w:firstLine="714"/>
      </w:pPr>
      <w:r w:rsidRPr="00811007">
        <w:rPr>
          <w:rFonts w:hint="eastAsia"/>
        </w:rPr>
        <w:t>学生要遵守校纪校规，按时上课（晚自习），做到无迟到、早退，不带食物进课堂，课堂上不玩手机或做其它与学习无关的动作；在课堂学习上，认真听讲，主动回答问题，课后按时完成布置的作业，主动拓展学习的广度和深度；积极参与学科竞赛、大学生创新训练计划、大学生创业大赛等活动；端正学习态度，认真复习迎考，严格遵守考试纪律</w:t>
      </w:r>
      <w:r w:rsidR="00D93471" w:rsidRPr="00811007">
        <w:rPr>
          <w:rFonts w:hint="eastAsia"/>
        </w:rPr>
        <w:t>，诚信考试</w:t>
      </w:r>
      <w:r w:rsidRPr="00811007">
        <w:rPr>
          <w:rFonts w:hint="eastAsia"/>
        </w:rPr>
        <w:t>；在生活园区开</w:t>
      </w:r>
      <w:r w:rsidR="00195413" w:rsidRPr="00811007">
        <w:rPr>
          <w:rFonts w:hint="eastAsia"/>
        </w:rPr>
        <w:t>展学习互助活动，营造良好的寝室学习氛围，把生活园区变成学习园区；</w:t>
      </w:r>
      <w:r w:rsidR="002429AE" w:rsidRPr="00811007">
        <w:rPr>
          <w:rFonts w:hint="eastAsia"/>
        </w:rPr>
        <w:t>人人参与读书活动，通过阅读经典名著提升文化修养。</w:t>
      </w:r>
    </w:p>
    <w:p w:rsidR="00D94946" w:rsidRPr="00811007" w:rsidRDefault="000230EC" w:rsidP="000230EC">
      <w:pPr>
        <w:pStyle w:val="1"/>
        <w:ind w:firstLineChars="200" w:firstLine="640"/>
      </w:pPr>
      <w:r>
        <w:rPr>
          <w:rFonts w:hint="eastAsia"/>
        </w:rPr>
        <w:t>2.</w:t>
      </w:r>
      <w:r w:rsidR="00D94946" w:rsidRPr="00811007">
        <w:rPr>
          <w:rFonts w:hint="eastAsia"/>
        </w:rPr>
        <w:t>任课教师</w:t>
      </w:r>
    </w:p>
    <w:p w:rsidR="00C677C2" w:rsidRPr="00590C98" w:rsidRDefault="00C677C2" w:rsidP="00590C98">
      <w:pPr>
        <w:pStyle w:val="1"/>
        <w:ind w:firstLineChars="223" w:firstLine="714"/>
      </w:pPr>
      <w:r w:rsidRPr="00590C98">
        <w:rPr>
          <w:rFonts w:hint="eastAsia"/>
        </w:rPr>
        <w:t>要求任课教师</w:t>
      </w:r>
      <w:r w:rsidR="000230EC" w:rsidRPr="00590C98">
        <w:rPr>
          <w:rFonts w:hint="eastAsia"/>
        </w:rPr>
        <w:t>加强教学文件及要求的学习，不断规范教学行为，认真落实各项制度及要求。</w:t>
      </w:r>
      <w:r w:rsidRPr="00590C98">
        <w:rPr>
          <w:rFonts w:hint="eastAsia"/>
        </w:rPr>
        <w:t>以教学系为单位</w:t>
      </w:r>
      <w:r w:rsidR="000230EC" w:rsidRPr="00590C98">
        <w:rPr>
          <w:rFonts w:hint="eastAsia"/>
        </w:rPr>
        <w:t>组织教师认真学习《三江学院教师教学工作规范》、《三江学院主要教学环节质量标准》、《三江学院调停课管理办法》、《三江学院考试工作规程》、《三江学院关于开卷考试的规定》、《三江学院教学事故认定与处理规定》、《2018届商学院本科毕业论</w:t>
      </w:r>
      <w:r w:rsidR="000230EC" w:rsidRPr="00590C98">
        <w:rPr>
          <w:rFonts w:hint="eastAsia"/>
        </w:rPr>
        <w:lastRenderedPageBreak/>
        <w:t>文工作细则》、《2018届商学院学生赴校外进行毕业实习管理制度》等文件，明确</w:t>
      </w:r>
      <w:r w:rsidR="00C13E47" w:rsidRPr="00590C98">
        <w:rPr>
          <w:rFonts w:hint="eastAsia"/>
        </w:rPr>
        <w:t>学校教学纪律要求、课堂教学要求、期末考试辅导答疑要求、</w:t>
      </w:r>
      <w:r w:rsidR="000230EC" w:rsidRPr="00590C98">
        <w:rPr>
          <w:rFonts w:hint="eastAsia"/>
        </w:rPr>
        <w:t>作业批改</w:t>
      </w:r>
      <w:r w:rsidR="00C13E47" w:rsidRPr="00590C98">
        <w:rPr>
          <w:rFonts w:hint="eastAsia"/>
        </w:rPr>
        <w:t>及材料提交要求</w:t>
      </w:r>
      <w:r w:rsidR="000230EC" w:rsidRPr="00590C98">
        <w:rPr>
          <w:rFonts w:hint="eastAsia"/>
        </w:rPr>
        <w:t>、</w:t>
      </w:r>
      <w:r w:rsidR="00C13E47" w:rsidRPr="00590C98">
        <w:rPr>
          <w:rFonts w:hint="eastAsia"/>
        </w:rPr>
        <w:t>试卷命题、评阅及审核要求、</w:t>
      </w:r>
      <w:r w:rsidR="00DC44C7" w:rsidRPr="00590C98">
        <w:rPr>
          <w:rFonts w:hint="eastAsia"/>
        </w:rPr>
        <w:t>监考工作</w:t>
      </w:r>
      <w:r w:rsidR="000230EC" w:rsidRPr="00590C98">
        <w:rPr>
          <w:rFonts w:hint="eastAsia"/>
        </w:rPr>
        <w:t>要求</w:t>
      </w:r>
      <w:r w:rsidR="00590C98" w:rsidRPr="00590C98">
        <w:rPr>
          <w:rFonts w:hint="eastAsia"/>
        </w:rPr>
        <w:t>等</w:t>
      </w:r>
      <w:r w:rsidR="000230EC" w:rsidRPr="00590C98">
        <w:rPr>
          <w:rFonts w:hint="eastAsia"/>
        </w:rPr>
        <w:t>。根据要求结合自身情况，自我反省、自我检查，自我约束，对照要求和反馈信息，有则改之无则加勉。</w:t>
      </w:r>
      <w:r w:rsidRPr="00590C98">
        <w:rPr>
          <w:rFonts w:hint="eastAsia"/>
        </w:rPr>
        <w:t>通过学习和教育，强化教师岗位意识，促使教师用勤奋的工作态度、严谨的治学精神、规范的教学行为感染和教育学生，用优良风范影响和激励学生。</w:t>
      </w:r>
    </w:p>
    <w:p w:rsidR="00D94946" w:rsidRDefault="00C677C2" w:rsidP="00590C98">
      <w:pPr>
        <w:pStyle w:val="1"/>
        <w:ind w:firstLineChars="223" w:firstLine="714"/>
      </w:pPr>
      <w:r w:rsidRPr="00590C98">
        <w:rPr>
          <w:rFonts w:hint="eastAsia"/>
        </w:rPr>
        <w:t>充分发挥任课教师作为课堂教育管理第一责任人的作用，</w:t>
      </w:r>
      <w:r w:rsidR="001833F6" w:rsidRPr="00590C98">
        <w:rPr>
          <w:rFonts w:hint="eastAsia"/>
        </w:rPr>
        <w:t>教师要加强对学生课堂纪律、听课情况的管理，</w:t>
      </w:r>
      <w:r w:rsidR="001833F6" w:rsidRPr="00811007">
        <w:rPr>
          <w:rFonts w:hint="eastAsia"/>
        </w:rPr>
        <w:t>严格执行考勤制度，如实记录学生迟到、早退及上课不认真等课堂情况，对旷课达到学生手册规定的，取消考试资格，与辅导员共同做好缺勤学生教育</w:t>
      </w:r>
      <w:r w:rsidR="001833F6">
        <w:rPr>
          <w:rFonts w:hint="eastAsia"/>
        </w:rPr>
        <w:t>。同时，</w:t>
      </w:r>
      <w:r w:rsidR="0069297D" w:rsidRPr="00590C98">
        <w:rPr>
          <w:rFonts w:hint="eastAsia"/>
        </w:rPr>
        <w:t>教师在教学中要通过丰富的教学内容、多元的教学方法和手段，提升学生学习兴趣；要结合专业导师工作，</w:t>
      </w:r>
      <w:r w:rsidR="001833F6" w:rsidRPr="00590C98">
        <w:rPr>
          <w:rFonts w:hint="eastAsia"/>
        </w:rPr>
        <w:t>加强</w:t>
      </w:r>
      <w:r w:rsidR="001833F6" w:rsidRPr="00811007">
        <w:rPr>
          <w:rFonts w:hint="eastAsia"/>
        </w:rPr>
        <w:t>与学生沟通，了解学生的现状，帮助学生做好职业生涯规划，做好学业指导；</w:t>
      </w:r>
      <w:r w:rsidR="001833F6">
        <w:rPr>
          <w:rFonts w:hint="eastAsia"/>
        </w:rPr>
        <w:t>要积极</w:t>
      </w:r>
      <w:r w:rsidR="0069297D" w:rsidRPr="00590C98">
        <w:rPr>
          <w:rFonts w:hint="eastAsia"/>
        </w:rPr>
        <w:t>引导学生广泛阅读专业相关的图书、电子资料，形成良好的阅读学习习惯，不断提升专业领悟能力。</w:t>
      </w:r>
    </w:p>
    <w:p w:rsidR="00A8702D" w:rsidRPr="00811007" w:rsidRDefault="0069297D" w:rsidP="0069297D">
      <w:pPr>
        <w:pStyle w:val="1"/>
        <w:ind w:firstLineChars="200" w:firstLine="640"/>
      </w:pPr>
      <w:r>
        <w:rPr>
          <w:rFonts w:hint="eastAsia"/>
        </w:rPr>
        <w:t>3.</w:t>
      </w:r>
      <w:r w:rsidR="00A8702D" w:rsidRPr="00811007">
        <w:rPr>
          <w:rFonts w:hint="eastAsia"/>
        </w:rPr>
        <w:t>辅导员</w:t>
      </w:r>
    </w:p>
    <w:p w:rsidR="00AA089F" w:rsidRDefault="00AA089F" w:rsidP="00811007">
      <w:pPr>
        <w:pStyle w:val="1"/>
      </w:pPr>
      <w:r w:rsidRPr="00811007">
        <w:rPr>
          <w:rFonts w:hint="eastAsia"/>
        </w:rPr>
        <w:t>全体辅导员周一至周五上午8：00、下午1：50须到所带班级进行检查，每天深入课堂听课不少于2节，认真填写</w:t>
      </w:r>
      <w:r w:rsidRPr="00811007">
        <w:rPr>
          <w:rFonts w:hint="eastAsia"/>
        </w:rPr>
        <w:lastRenderedPageBreak/>
        <w:t>随堂听课表；主动与任课教师、学业导师加强联系，了解学生的日常课堂表现和学习规划，帮助学生树立正确的学习目标；协助任课老师做好上课考勤工作的后续处理，对学生的迟到、早退及旷课等情况予以批评教育直至处分；深入到学生生活园区，了解学生在寝室中的学习情况，指导生活园区学习互助活动的开展，引导学生会读书、读好书。</w:t>
      </w:r>
    </w:p>
    <w:p w:rsidR="009D1216" w:rsidRPr="00811007" w:rsidRDefault="009D1216" w:rsidP="009D1216">
      <w:pPr>
        <w:pStyle w:val="1"/>
        <w:ind w:firstLineChars="100" w:firstLine="320"/>
      </w:pPr>
      <w:r>
        <w:rPr>
          <w:rFonts w:hint="eastAsia"/>
        </w:rPr>
        <w:t>（三）分类指导，开展</w:t>
      </w:r>
      <w:r w:rsidRPr="00811007">
        <w:rPr>
          <w:rFonts w:hint="eastAsia"/>
        </w:rPr>
        <w:t>系列活动</w:t>
      </w:r>
    </w:p>
    <w:p w:rsidR="009D1216" w:rsidRPr="00811007" w:rsidRDefault="009D1216" w:rsidP="009D1216">
      <w:pPr>
        <w:pStyle w:val="1"/>
      </w:pPr>
      <w:r w:rsidRPr="00811007">
        <w:rPr>
          <w:rFonts w:hint="eastAsia"/>
        </w:rPr>
        <w:t>1、16级开展为期一个月的晚自习学习风尚建设活动，制定活动方案，开展比学活动。（负责老师：张伟）</w:t>
      </w:r>
    </w:p>
    <w:p w:rsidR="009D1216" w:rsidRPr="00811007" w:rsidRDefault="009D1216" w:rsidP="009D1216">
      <w:pPr>
        <w:pStyle w:val="1"/>
      </w:pPr>
      <w:r w:rsidRPr="00811007">
        <w:rPr>
          <w:rFonts w:hint="eastAsia"/>
        </w:rPr>
        <w:t>2、16级、15级各班开展“经典读物共阅读”活动。（负责老师：各班学业导师、辅导员）</w:t>
      </w:r>
    </w:p>
    <w:p w:rsidR="009D1216" w:rsidRPr="00811007" w:rsidRDefault="009D1216" w:rsidP="009D1216">
      <w:pPr>
        <w:pStyle w:val="1"/>
      </w:pPr>
      <w:r w:rsidRPr="00811007">
        <w:rPr>
          <w:rFonts w:hint="eastAsia"/>
        </w:rPr>
        <w:t>3、16级、15级开展学风建设主题班会活动（负责老师：各班辅导员）</w:t>
      </w:r>
    </w:p>
    <w:p w:rsidR="009D1216" w:rsidRPr="00811007" w:rsidRDefault="009D1216" w:rsidP="009D1216">
      <w:pPr>
        <w:pStyle w:val="1"/>
      </w:pPr>
      <w:r w:rsidRPr="00811007">
        <w:rPr>
          <w:rFonts w:hint="eastAsia"/>
        </w:rPr>
        <w:t>4、15级、14级开展榜样选树活动，开展榜样分享会。（负责老师：李芳芳）</w:t>
      </w:r>
    </w:p>
    <w:p w:rsidR="009D1216" w:rsidRDefault="009D1216" w:rsidP="009D1216">
      <w:pPr>
        <w:pStyle w:val="1"/>
      </w:pPr>
      <w:r w:rsidRPr="00811007">
        <w:rPr>
          <w:rFonts w:hint="eastAsia"/>
        </w:rPr>
        <w:t>5、全院教师深入学习《学生手册》考试之规定，严格专业课考试纪律，发现违纪作弊行为及时、合规的进行处理。（负责老师：张燕、康丽、刘万美）</w:t>
      </w:r>
    </w:p>
    <w:p w:rsidR="00D94946" w:rsidRPr="00811007" w:rsidRDefault="0069297D" w:rsidP="009D1216">
      <w:pPr>
        <w:pStyle w:val="1"/>
        <w:ind w:firstLineChars="100" w:firstLine="320"/>
      </w:pPr>
      <w:r>
        <w:rPr>
          <w:rFonts w:hint="eastAsia"/>
        </w:rPr>
        <w:t>（</w:t>
      </w:r>
      <w:r w:rsidR="009D1216">
        <w:rPr>
          <w:rFonts w:hint="eastAsia"/>
        </w:rPr>
        <w:t>四</w:t>
      </w:r>
      <w:r>
        <w:rPr>
          <w:rFonts w:hint="eastAsia"/>
        </w:rPr>
        <w:t>）加强监督，</w:t>
      </w:r>
      <w:r w:rsidRPr="0069297D">
        <w:rPr>
          <w:rFonts w:hint="eastAsia"/>
        </w:rPr>
        <w:t>以查促教，以查促学</w:t>
      </w:r>
    </w:p>
    <w:p w:rsidR="001833F6" w:rsidRPr="009D1216" w:rsidRDefault="00C97B16" w:rsidP="009D1216">
      <w:pPr>
        <w:pStyle w:val="1"/>
      </w:pPr>
      <w:r w:rsidRPr="00811007">
        <w:rPr>
          <w:rFonts w:hint="eastAsia"/>
        </w:rPr>
        <w:lastRenderedPageBreak/>
        <w:t>商学院成立</w:t>
      </w:r>
      <w:r w:rsidR="001833F6">
        <w:rPr>
          <w:rFonts w:hint="eastAsia"/>
        </w:rPr>
        <w:t>由院系各级领导组成的</w:t>
      </w:r>
      <w:r w:rsidRPr="00811007">
        <w:rPr>
          <w:rFonts w:hint="eastAsia"/>
        </w:rPr>
        <w:t>院教风学风建设</w:t>
      </w:r>
      <w:r w:rsidR="001833F6">
        <w:rPr>
          <w:rFonts w:hint="eastAsia"/>
        </w:rPr>
        <w:t>活动领导</w:t>
      </w:r>
      <w:r w:rsidRPr="00811007">
        <w:rPr>
          <w:rFonts w:hint="eastAsia"/>
        </w:rPr>
        <w:t>小组</w:t>
      </w:r>
      <w:r w:rsidR="001833F6">
        <w:rPr>
          <w:rFonts w:hint="eastAsia"/>
        </w:rPr>
        <w:t>及教学巡视小组</w:t>
      </w:r>
      <w:r w:rsidRPr="00811007">
        <w:rPr>
          <w:rFonts w:hint="eastAsia"/>
        </w:rPr>
        <w:t>，</w:t>
      </w:r>
      <w:r w:rsidR="001833F6" w:rsidRPr="009D1216">
        <w:rPr>
          <w:rFonts w:hint="eastAsia"/>
        </w:rPr>
        <w:t>对教师教学规范要求执行情况、学生课堂</w:t>
      </w:r>
      <w:r w:rsidR="009D1216">
        <w:rPr>
          <w:rFonts w:hint="eastAsia"/>
        </w:rPr>
        <w:t>纪律及</w:t>
      </w:r>
      <w:r w:rsidR="001833F6" w:rsidRPr="009D1216">
        <w:rPr>
          <w:rFonts w:hint="eastAsia"/>
        </w:rPr>
        <w:t>学习情况进行检查。要求各巡视组成员</w:t>
      </w:r>
      <w:r w:rsidR="009D1216">
        <w:rPr>
          <w:rFonts w:hint="eastAsia"/>
        </w:rPr>
        <w:t>结合本院</w:t>
      </w:r>
      <w:r w:rsidR="001833F6" w:rsidRPr="009D1216">
        <w:rPr>
          <w:rFonts w:hint="eastAsia"/>
        </w:rPr>
        <w:t>专业课教学</w:t>
      </w:r>
      <w:r w:rsidR="00C13E47">
        <w:rPr>
          <w:rFonts w:hint="eastAsia"/>
        </w:rPr>
        <w:t>开展</w:t>
      </w:r>
      <w:r w:rsidR="001833F6" w:rsidRPr="009D1216">
        <w:rPr>
          <w:rFonts w:hint="eastAsia"/>
        </w:rPr>
        <w:t>情况进行巡视，填写巡视日志表，每周汇总</w:t>
      </w:r>
      <w:r w:rsidR="009D1216" w:rsidRPr="009D1216">
        <w:rPr>
          <w:rFonts w:hint="eastAsia"/>
        </w:rPr>
        <w:t>。</w:t>
      </w:r>
      <w:r w:rsidR="001833F6" w:rsidRPr="009D1216">
        <w:rPr>
          <w:rFonts w:hint="eastAsia"/>
        </w:rPr>
        <w:t>巡视中如遇突发情况，及时上报学院处理</w:t>
      </w:r>
      <w:r w:rsidR="009D1216" w:rsidRPr="009D1216">
        <w:rPr>
          <w:rFonts w:hint="eastAsia"/>
        </w:rPr>
        <w:t>。商学院教风学风建设月巡视工作安排及</w:t>
      </w:r>
      <w:r w:rsidR="001833F6" w:rsidRPr="009D1216">
        <w:rPr>
          <w:rFonts w:hint="eastAsia"/>
        </w:rPr>
        <w:t>巡视日志表见附件</w:t>
      </w:r>
      <w:r w:rsidR="009D1216" w:rsidRPr="009D1216">
        <w:rPr>
          <w:rFonts w:hint="eastAsia"/>
        </w:rPr>
        <w:t>一</w:t>
      </w:r>
      <w:r w:rsidR="00C13E47">
        <w:rPr>
          <w:rFonts w:hint="eastAsia"/>
        </w:rPr>
        <w:t>、附件二</w:t>
      </w:r>
      <w:r w:rsidR="001833F6" w:rsidRPr="009D1216">
        <w:rPr>
          <w:rFonts w:hint="eastAsia"/>
        </w:rPr>
        <w:t>。</w:t>
      </w:r>
    </w:p>
    <w:p w:rsidR="001833F6" w:rsidRDefault="001833F6" w:rsidP="00811007">
      <w:pPr>
        <w:pStyle w:val="1"/>
      </w:pPr>
      <w:r>
        <w:rPr>
          <w:rFonts w:hint="eastAsia"/>
        </w:rPr>
        <w:t>（五）</w:t>
      </w:r>
      <w:r w:rsidR="009D1216">
        <w:rPr>
          <w:rFonts w:hint="eastAsia"/>
        </w:rPr>
        <w:t>总结经验，分析不足，改进提升</w:t>
      </w:r>
    </w:p>
    <w:p w:rsidR="001833F6" w:rsidRPr="009D1216" w:rsidRDefault="009D1216" w:rsidP="009D1216">
      <w:pPr>
        <w:pStyle w:val="1"/>
      </w:pPr>
      <w:r w:rsidRPr="009D1216">
        <w:rPr>
          <w:rFonts w:hint="eastAsia"/>
        </w:rPr>
        <w:t>教风学分建设月</w:t>
      </w:r>
      <w:r w:rsidR="001833F6" w:rsidRPr="009D1216">
        <w:rPr>
          <w:rFonts w:hint="eastAsia"/>
        </w:rPr>
        <w:t>活动结束后，对商学院建设活动工作的落实及执行情况进行全面性总结，</w:t>
      </w:r>
      <w:r w:rsidRPr="009D1216">
        <w:rPr>
          <w:rFonts w:hint="eastAsia"/>
        </w:rPr>
        <w:t>积累建设经验，分析建设不足及改进策略，</w:t>
      </w:r>
      <w:r w:rsidR="001833F6" w:rsidRPr="009D1216">
        <w:rPr>
          <w:rFonts w:hint="eastAsia"/>
        </w:rPr>
        <w:t>通过建设活动的开展，</w:t>
      </w:r>
      <w:r w:rsidRPr="009D1216">
        <w:rPr>
          <w:rFonts w:hint="eastAsia"/>
        </w:rPr>
        <w:t>不断提升</w:t>
      </w:r>
      <w:r w:rsidR="001833F6" w:rsidRPr="009D1216">
        <w:rPr>
          <w:rFonts w:hint="eastAsia"/>
        </w:rPr>
        <w:t>商学院教学工作质量。</w:t>
      </w:r>
    </w:p>
    <w:p w:rsidR="006D0790" w:rsidRDefault="006D0790" w:rsidP="00811007">
      <w:pPr>
        <w:pStyle w:val="1"/>
      </w:pPr>
    </w:p>
    <w:p w:rsidR="006D0790" w:rsidRDefault="006D0790" w:rsidP="006D0790">
      <w:pPr>
        <w:pStyle w:val="1"/>
        <w:jc w:val="right"/>
      </w:pPr>
      <w:r>
        <w:rPr>
          <w:rFonts w:hint="eastAsia"/>
        </w:rPr>
        <w:t>商学院</w:t>
      </w:r>
    </w:p>
    <w:p w:rsidR="006D0790" w:rsidRDefault="006D0790" w:rsidP="006D0790">
      <w:pPr>
        <w:pStyle w:val="1"/>
        <w:jc w:val="right"/>
      </w:pPr>
      <w:r>
        <w:rPr>
          <w:rFonts w:hint="eastAsia"/>
        </w:rPr>
        <w:t>2017年12月6日</w:t>
      </w:r>
    </w:p>
    <w:p w:rsidR="00590C98" w:rsidRDefault="00590C98" w:rsidP="00590C98">
      <w:pPr>
        <w:pStyle w:val="1"/>
      </w:pPr>
    </w:p>
    <w:p w:rsidR="00590C98" w:rsidRDefault="00590C98" w:rsidP="00590C98">
      <w:pPr>
        <w:pStyle w:val="1"/>
      </w:pPr>
    </w:p>
    <w:p w:rsidR="00590C98" w:rsidRDefault="00590C98" w:rsidP="00590C98">
      <w:pPr>
        <w:pStyle w:val="1"/>
      </w:pPr>
    </w:p>
    <w:p w:rsidR="00590C98" w:rsidRDefault="00590C98" w:rsidP="00590C98">
      <w:pPr>
        <w:pStyle w:val="1"/>
      </w:pPr>
    </w:p>
    <w:p w:rsidR="00590C98" w:rsidRDefault="00590C98" w:rsidP="00590C98">
      <w:pPr>
        <w:pStyle w:val="1"/>
      </w:pPr>
    </w:p>
    <w:p w:rsidR="00590C98" w:rsidRPr="00736A9A" w:rsidRDefault="00590C98" w:rsidP="00590C98">
      <w:pPr>
        <w:pStyle w:val="1"/>
        <w:rPr>
          <w:b/>
        </w:rPr>
      </w:pPr>
      <w:r>
        <w:rPr>
          <w:rFonts w:hint="eastAsia"/>
        </w:rPr>
        <w:lastRenderedPageBreak/>
        <w:t>附件一：</w:t>
      </w:r>
      <w:r w:rsidRPr="00736A9A">
        <w:rPr>
          <w:rFonts w:hint="eastAsia"/>
          <w:b/>
        </w:rPr>
        <w:t>商学院教风学风建设月巡视</w:t>
      </w:r>
      <w:r>
        <w:rPr>
          <w:rFonts w:hint="eastAsia"/>
          <w:b/>
        </w:rPr>
        <w:t>工作</w:t>
      </w:r>
      <w:r w:rsidRPr="00736A9A">
        <w:rPr>
          <w:rFonts w:hint="eastAsia"/>
          <w:b/>
        </w:rPr>
        <w:t>安排</w:t>
      </w:r>
    </w:p>
    <w:p w:rsidR="00590C98" w:rsidRDefault="00590C98" w:rsidP="00590C98">
      <w:pPr>
        <w:pStyle w:val="a5"/>
        <w:shd w:val="clear" w:color="auto" w:fill="FFFFFF"/>
        <w:spacing w:before="120" w:beforeAutospacing="0" w:after="120" w:afterAutospacing="0"/>
        <w:ind w:firstLine="756"/>
        <w:rPr>
          <w:sz w:val="28"/>
          <w:szCs w:val="28"/>
        </w:rPr>
      </w:pPr>
      <w:r w:rsidRPr="00C41E47">
        <w:rPr>
          <w:sz w:val="28"/>
          <w:szCs w:val="28"/>
        </w:rPr>
        <w:t>根据</w:t>
      </w:r>
      <w:r w:rsidRPr="00C41E47">
        <w:rPr>
          <w:rFonts w:hint="eastAsia"/>
          <w:sz w:val="28"/>
          <w:szCs w:val="28"/>
        </w:rPr>
        <w:t>三江学院《关于开展2017年度教风学风建设月活动的通知》（校教字【2017】56号；校学字【2017】24号），为落实2017年学校教学工作要点，进一步优化育人环境，提高教育教学质量，提高我校教风和学风建设水平，经研究决定，商学院成立院教风学风建设月巡视工作小组</w:t>
      </w:r>
      <w:r>
        <w:rPr>
          <w:rFonts w:hint="eastAsia"/>
          <w:sz w:val="28"/>
          <w:szCs w:val="28"/>
        </w:rPr>
        <w:t>，加强对教学工作的检查和督导，严格检查课堂教学规范与纪律。</w:t>
      </w:r>
    </w:p>
    <w:p w:rsidR="00590C98" w:rsidRPr="00C41E47" w:rsidRDefault="00590C98" w:rsidP="00590C98">
      <w:pPr>
        <w:pStyle w:val="a5"/>
        <w:shd w:val="clear" w:color="auto" w:fill="FFFFFF"/>
        <w:spacing w:before="120" w:beforeAutospacing="0" w:after="120" w:afterAutospacing="0"/>
        <w:ind w:firstLine="756"/>
        <w:rPr>
          <w:rFonts w:ascii="Tahoma" w:hAnsi="Tahoma" w:cs="Tahoma"/>
          <w:color w:val="333333"/>
          <w:sz w:val="17"/>
          <w:szCs w:val="17"/>
        </w:rPr>
      </w:pPr>
      <w:r w:rsidRPr="005A5E81">
        <w:rPr>
          <w:rFonts w:hint="eastAsia"/>
          <w:sz w:val="28"/>
          <w:szCs w:val="28"/>
        </w:rPr>
        <w:t>各巡视</w:t>
      </w:r>
      <w:r>
        <w:rPr>
          <w:rFonts w:hint="eastAsia"/>
          <w:sz w:val="28"/>
          <w:szCs w:val="28"/>
        </w:rPr>
        <w:t>组</w:t>
      </w:r>
      <w:r w:rsidRPr="005A5E81">
        <w:rPr>
          <w:rFonts w:hint="eastAsia"/>
          <w:sz w:val="28"/>
          <w:szCs w:val="28"/>
        </w:rPr>
        <w:t>组长安排小组成员对商学院专业课</w:t>
      </w:r>
      <w:r>
        <w:rPr>
          <w:rFonts w:hint="eastAsia"/>
          <w:sz w:val="28"/>
          <w:szCs w:val="28"/>
        </w:rPr>
        <w:t>教学情况</w:t>
      </w:r>
      <w:r w:rsidRPr="005A5E81">
        <w:rPr>
          <w:rFonts w:hint="eastAsia"/>
          <w:sz w:val="28"/>
          <w:szCs w:val="28"/>
        </w:rPr>
        <w:t>进行巡视，保证每天每栋楼有老师巡视，巡视中如遇突发情况，请及时报备给周巧红老师，并填写巡视</w:t>
      </w:r>
      <w:r>
        <w:rPr>
          <w:rFonts w:hint="eastAsia"/>
          <w:sz w:val="28"/>
          <w:szCs w:val="28"/>
        </w:rPr>
        <w:t>日志</w:t>
      </w:r>
      <w:r w:rsidRPr="005A5E81"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>，</w:t>
      </w:r>
      <w:r w:rsidRPr="005A5E81">
        <w:rPr>
          <w:rFonts w:hint="eastAsia"/>
          <w:sz w:val="28"/>
          <w:szCs w:val="28"/>
        </w:rPr>
        <w:t>每周</w:t>
      </w:r>
      <w:r>
        <w:rPr>
          <w:rFonts w:hint="eastAsia"/>
          <w:sz w:val="28"/>
          <w:szCs w:val="28"/>
        </w:rPr>
        <w:t>汇总一份巡视日志并请于周五下班之前交院办公室存档，巡视日志表见附件</w:t>
      </w:r>
      <w:r w:rsidRPr="005A5E81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各组</w:t>
      </w:r>
      <w:r w:rsidRPr="005A5E81">
        <w:rPr>
          <w:rFonts w:hint="eastAsia"/>
          <w:sz w:val="28"/>
          <w:szCs w:val="28"/>
        </w:rPr>
        <w:t>巡视安排如下：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984"/>
        <w:gridCol w:w="1843"/>
        <w:gridCol w:w="2035"/>
      </w:tblGrid>
      <w:tr w:rsidR="00590C98" w:rsidRPr="005A5E81" w:rsidTr="004D6AB2">
        <w:tc>
          <w:tcPr>
            <w:tcW w:w="2660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984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组长</w:t>
            </w:r>
          </w:p>
        </w:tc>
        <w:tc>
          <w:tcPr>
            <w:tcW w:w="1843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人员</w:t>
            </w:r>
            <w:r w:rsidRPr="005A5E8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35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人员</w:t>
            </w:r>
            <w:r w:rsidRPr="005A5E81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590C98" w:rsidRPr="005A5E81" w:rsidTr="004D6AB2">
        <w:tc>
          <w:tcPr>
            <w:tcW w:w="2660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第</w:t>
            </w:r>
            <w:r w:rsidRPr="005A5E81">
              <w:rPr>
                <w:rFonts w:hint="eastAsia"/>
                <w:sz w:val="28"/>
                <w:szCs w:val="28"/>
              </w:rPr>
              <w:t>14</w:t>
            </w:r>
            <w:r w:rsidRPr="005A5E81"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984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张燕</w:t>
            </w:r>
          </w:p>
        </w:tc>
        <w:tc>
          <w:tcPr>
            <w:tcW w:w="1843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杨静</w:t>
            </w:r>
          </w:p>
        </w:tc>
        <w:tc>
          <w:tcPr>
            <w:tcW w:w="2035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李佳</w:t>
            </w:r>
          </w:p>
        </w:tc>
      </w:tr>
      <w:tr w:rsidR="00590C98" w:rsidRPr="005A5E81" w:rsidTr="004D6AB2">
        <w:tc>
          <w:tcPr>
            <w:tcW w:w="2660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第</w:t>
            </w:r>
            <w:r w:rsidRPr="005A5E81">
              <w:rPr>
                <w:rFonts w:hint="eastAsia"/>
                <w:sz w:val="28"/>
                <w:szCs w:val="28"/>
              </w:rPr>
              <w:t>15</w:t>
            </w:r>
            <w:r w:rsidRPr="005A5E81"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984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刘万美</w:t>
            </w:r>
          </w:p>
        </w:tc>
        <w:tc>
          <w:tcPr>
            <w:tcW w:w="1843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周平根</w:t>
            </w:r>
          </w:p>
        </w:tc>
        <w:tc>
          <w:tcPr>
            <w:tcW w:w="2035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马丽君</w:t>
            </w:r>
          </w:p>
        </w:tc>
      </w:tr>
      <w:tr w:rsidR="00590C98" w:rsidRPr="005A5E81" w:rsidTr="004D6AB2">
        <w:tc>
          <w:tcPr>
            <w:tcW w:w="2660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第</w:t>
            </w:r>
            <w:r w:rsidRPr="005A5E81">
              <w:rPr>
                <w:rFonts w:hint="eastAsia"/>
                <w:sz w:val="28"/>
                <w:szCs w:val="28"/>
              </w:rPr>
              <w:t>16</w:t>
            </w:r>
            <w:r w:rsidRPr="005A5E81"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984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顾艳</w:t>
            </w:r>
          </w:p>
        </w:tc>
        <w:tc>
          <w:tcPr>
            <w:tcW w:w="1843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肖文圣</w:t>
            </w:r>
          </w:p>
        </w:tc>
        <w:tc>
          <w:tcPr>
            <w:tcW w:w="2035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代蕾</w:t>
            </w:r>
          </w:p>
        </w:tc>
      </w:tr>
      <w:tr w:rsidR="00590C98" w:rsidRPr="005A5E81" w:rsidTr="004D6AB2">
        <w:tc>
          <w:tcPr>
            <w:tcW w:w="2660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第</w:t>
            </w:r>
            <w:r w:rsidRPr="005A5E81">
              <w:rPr>
                <w:rFonts w:hint="eastAsia"/>
                <w:sz w:val="28"/>
                <w:szCs w:val="28"/>
              </w:rPr>
              <w:t>17</w:t>
            </w:r>
            <w:r w:rsidRPr="005A5E81"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984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竺杏月</w:t>
            </w:r>
          </w:p>
        </w:tc>
        <w:tc>
          <w:tcPr>
            <w:tcW w:w="1843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柏凌</w:t>
            </w:r>
          </w:p>
        </w:tc>
        <w:tc>
          <w:tcPr>
            <w:tcW w:w="2035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戴雪艳</w:t>
            </w:r>
          </w:p>
        </w:tc>
      </w:tr>
      <w:tr w:rsidR="00590C98" w:rsidRPr="005A5E81" w:rsidTr="004D6AB2">
        <w:tc>
          <w:tcPr>
            <w:tcW w:w="2660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第</w:t>
            </w:r>
            <w:r w:rsidRPr="005A5E81">
              <w:rPr>
                <w:rFonts w:hint="eastAsia"/>
                <w:sz w:val="28"/>
                <w:szCs w:val="28"/>
              </w:rPr>
              <w:t>18</w:t>
            </w:r>
            <w:r w:rsidRPr="005A5E81"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984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张晓锋</w:t>
            </w:r>
          </w:p>
        </w:tc>
        <w:tc>
          <w:tcPr>
            <w:tcW w:w="1843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施乾信</w:t>
            </w:r>
          </w:p>
        </w:tc>
        <w:tc>
          <w:tcPr>
            <w:tcW w:w="2035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郭怀照</w:t>
            </w:r>
          </w:p>
        </w:tc>
      </w:tr>
      <w:tr w:rsidR="00590C98" w:rsidRPr="005A5E81" w:rsidTr="004D6AB2">
        <w:tc>
          <w:tcPr>
            <w:tcW w:w="2660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第</w:t>
            </w:r>
            <w:r w:rsidRPr="005A5E81">
              <w:rPr>
                <w:rFonts w:hint="eastAsia"/>
                <w:sz w:val="28"/>
                <w:szCs w:val="28"/>
              </w:rPr>
              <w:t>19</w:t>
            </w:r>
            <w:r w:rsidRPr="005A5E81">
              <w:rPr>
                <w:rFonts w:hint="eastAsia"/>
                <w:sz w:val="28"/>
                <w:szCs w:val="28"/>
              </w:rPr>
              <w:t>周（竹山路）</w:t>
            </w:r>
          </w:p>
        </w:tc>
        <w:tc>
          <w:tcPr>
            <w:tcW w:w="5862" w:type="dxa"/>
            <w:gridSpan w:val="3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 w:rsidRPr="005A5E81">
              <w:rPr>
                <w:rFonts w:hint="eastAsia"/>
                <w:sz w:val="28"/>
                <w:szCs w:val="28"/>
              </w:rPr>
              <w:t>康丽</w:t>
            </w:r>
          </w:p>
        </w:tc>
      </w:tr>
      <w:tr w:rsidR="00590C98" w:rsidRPr="005A5E81" w:rsidTr="004D6AB2">
        <w:tc>
          <w:tcPr>
            <w:tcW w:w="2660" w:type="dxa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随机巡视检查</w:t>
            </w:r>
          </w:p>
        </w:tc>
        <w:tc>
          <w:tcPr>
            <w:tcW w:w="5862" w:type="dxa"/>
            <w:gridSpan w:val="3"/>
          </w:tcPr>
          <w:p w:rsidR="00590C98" w:rsidRPr="005A5E81" w:rsidRDefault="00590C98" w:rsidP="004D6A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康丽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章立萍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周巧红</w:t>
            </w:r>
          </w:p>
        </w:tc>
      </w:tr>
    </w:tbl>
    <w:p w:rsidR="00590C98" w:rsidRDefault="00590C98" w:rsidP="00590C98"/>
    <w:p w:rsidR="00590C98" w:rsidRPr="00736A9A" w:rsidRDefault="00590C98" w:rsidP="00590C98">
      <w:pPr>
        <w:rPr>
          <w:sz w:val="28"/>
          <w:szCs w:val="28"/>
        </w:rPr>
      </w:pPr>
      <w:r>
        <w:rPr>
          <w:rFonts w:hint="eastAsia"/>
        </w:rPr>
        <w:t xml:space="preserve"> </w:t>
      </w:r>
      <w:r w:rsidRPr="00736A9A"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 xml:space="preserve">                            </w:t>
      </w:r>
      <w:r w:rsidRPr="00736A9A">
        <w:rPr>
          <w:rFonts w:hint="eastAsia"/>
          <w:sz w:val="28"/>
          <w:szCs w:val="28"/>
        </w:rPr>
        <w:t xml:space="preserve"> </w:t>
      </w:r>
      <w:r w:rsidRPr="00736A9A">
        <w:rPr>
          <w:rFonts w:hint="eastAsia"/>
          <w:sz w:val="28"/>
          <w:szCs w:val="28"/>
        </w:rPr>
        <w:t>商学院</w:t>
      </w:r>
    </w:p>
    <w:p w:rsidR="00590C98" w:rsidRPr="00736A9A" w:rsidRDefault="00590C98" w:rsidP="00590C98">
      <w:pPr>
        <w:rPr>
          <w:sz w:val="28"/>
          <w:szCs w:val="28"/>
        </w:rPr>
      </w:pPr>
      <w:r w:rsidRPr="00736A9A"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 xml:space="preserve">                          </w:t>
      </w:r>
      <w:r w:rsidRPr="00736A9A">
        <w:rPr>
          <w:rFonts w:hint="eastAsia"/>
          <w:sz w:val="28"/>
          <w:szCs w:val="28"/>
        </w:rPr>
        <w:t xml:space="preserve"> 2017</w:t>
      </w:r>
      <w:r w:rsidRPr="00736A9A">
        <w:rPr>
          <w:rFonts w:hint="eastAsia"/>
          <w:sz w:val="28"/>
          <w:szCs w:val="28"/>
        </w:rPr>
        <w:t>年</w:t>
      </w:r>
      <w:r w:rsidRPr="00736A9A">
        <w:rPr>
          <w:rFonts w:hint="eastAsia"/>
          <w:sz w:val="28"/>
          <w:szCs w:val="28"/>
        </w:rPr>
        <w:t>12</w:t>
      </w:r>
      <w:r w:rsidRPr="00736A9A">
        <w:rPr>
          <w:rFonts w:hint="eastAsia"/>
          <w:sz w:val="28"/>
          <w:szCs w:val="28"/>
        </w:rPr>
        <w:t>月</w:t>
      </w:r>
      <w:r w:rsidRPr="00736A9A">
        <w:rPr>
          <w:rFonts w:hint="eastAsia"/>
          <w:sz w:val="28"/>
          <w:szCs w:val="28"/>
        </w:rPr>
        <w:t>5</w:t>
      </w:r>
      <w:r w:rsidRPr="00736A9A">
        <w:rPr>
          <w:rFonts w:hint="eastAsia"/>
          <w:sz w:val="28"/>
          <w:szCs w:val="28"/>
        </w:rPr>
        <w:t>日</w:t>
      </w:r>
    </w:p>
    <w:p w:rsidR="00590C98" w:rsidRDefault="00590C98" w:rsidP="00590C98">
      <w:pPr>
        <w:pStyle w:val="1"/>
        <w:sectPr w:rsidR="00590C98" w:rsidSect="00D203D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081" w:type="dxa"/>
        <w:tblInd w:w="93" w:type="dxa"/>
        <w:tblLook w:val="04A0"/>
      </w:tblPr>
      <w:tblGrid>
        <w:gridCol w:w="724"/>
        <w:gridCol w:w="356"/>
        <w:gridCol w:w="980"/>
        <w:gridCol w:w="1080"/>
        <w:gridCol w:w="1300"/>
        <w:gridCol w:w="395"/>
        <w:gridCol w:w="685"/>
        <w:gridCol w:w="307"/>
        <w:gridCol w:w="773"/>
        <w:gridCol w:w="645"/>
        <w:gridCol w:w="1855"/>
        <w:gridCol w:w="1547"/>
        <w:gridCol w:w="2835"/>
        <w:gridCol w:w="599"/>
      </w:tblGrid>
      <w:tr w:rsidR="004E2A9B" w:rsidRPr="00335844" w:rsidTr="00711D01">
        <w:trPr>
          <w:trHeight w:val="375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A9B" w:rsidRPr="00335844" w:rsidRDefault="00590C98" w:rsidP="00711D01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lastRenderedPageBreak/>
              <w:t>附件二：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4E2A9B" w:rsidRPr="00335844" w:rsidRDefault="004E2A9B" w:rsidP="007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E2A9B" w:rsidRPr="00335844" w:rsidTr="00711D01">
        <w:trPr>
          <w:trHeight w:val="375"/>
        </w:trPr>
        <w:tc>
          <w:tcPr>
            <w:tcW w:w="134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35844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商学院教学巡视日志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4E2A9B" w:rsidRPr="00335844" w:rsidRDefault="004E2A9B" w:rsidP="00711D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E2A9B" w:rsidRPr="00335844" w:rsidTr="00711D01">
        <w:trPr>
          <w:trHeight w:val="315"/>
        </w:trPr>
        <w:tc>
          <w:tcPr>
            <w:tcW w:w="4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3584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周次：第  周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33584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3584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（星期  ）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35844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组长签名：</w:t>
            </w:r>
            <w:r w:rsidRPr="00335844"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4E2A9B" w:rsidRPr="00335844" w:rsidRDefault="004E2A9B" w:rsidP="00711D0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E2A9B" w:rsidRPr="00335844" w:rsidTr="00711D01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:rsidR="004E2A9B" w:rsidRPr="00335844" w:rsidTr="00711D01">
        <w:trPr>
          <w:trHeight w:val="624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584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A9B" w:rsidRPr="00335844" w:rsidRDefault="004E2A9B" w:rsidP="00711D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584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教室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584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584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584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节次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584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584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具体检查情况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辅导员巡课\听课情况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E2A9B" w:rsidRPr="00335844" w:rsidRDefault="004E2A9B" w:rsidP="00711D0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584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E2A9B" w:rsidRPr="00335844" w:rsidTr="00711D01">
        <w:trPr>
          <w:trHeight w:val="62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3584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3584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2A9B" w:rsidRPr="00335844" w:rsidRDefault="004E2A9B" w:rsidP="00711D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A9B" w:rsidRPr="00335844" w:rsidTr="00711D01">
        <w:trPr>
          <w:trHeight w:val="62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3584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3584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2A9B" w:rsidRPr="00335844" w:rsidRDefault="004E2A9B" w:rsidP="007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A9B" w:rsidRPr="00335844" w:rsidTr="00711D01">
        <w:trPr>
          <w:trHeight w:val="62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3584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3584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2A9B" w:rsidRPr="00335844" w:rsidRDefault="004E2A9B" w:rsidP="007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A9B" w:rsidRPr="00335844" w:rsidTr="00711D01">
        <w:trPr>
          <w:trHeight w:val="62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3584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3584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2A9B" w:rsidRPr="00335844" w:rsidRDefault="004E2A9B" w:rsidP="007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A9B" w:rsidRPr="00335844" w:rsidTr="00711D01">
        <w:trPr>
          <w:trHeight w:val="62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3584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3584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2A9B" w:rsidRPr="00335844" w:rsidRDefault="004E2A9B" w:rsidP="007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A9B" w:rsidRPr="00335844" w:rsidTr="00711D01">
        <w:trPr>
          <w:trHeight w:val="62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3584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3584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2A9B" w:rsidRPr="00335844" w:rsidRDefault="004E2A9B" w:rsidP="007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A9B" w:rsidRPr="00335844" w:rsidTr="00711D01">
        <w:trPr>
          <w:trHeight w:val="62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3584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2A9B" w:rsidRPr="00335844" w:rsidRDefault="004E2A9B" w:rsidP="007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A9B" w:rsidRPr="00335844" w:rsidTr="00711D01">
        <w:trPr>
          <w:trHeight w:val="62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335844">
              <w:rPr>
                <w:rFonts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A9B" w:rsidRPr="00335844" w:rsidRDefault="004E2A9B" w:rsidP="007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3584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2A9B" w:rsidRPr="00335844" w:rsidRDefault="004E2A9B" w:rsidP="00711D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90C98" w:rsidRPr="00811007" w:rsidRDefault="00590C98" w:rsidP="004E2A9B">
      <w:pPr>
        <w:pStyle w:val="1"/>
        <w:ind w:right="320" w:firstLine="0"/>
      </w:pPr>
    </w:p>
    <w:sectPr w:rsidR="00590C98" w:rsidRPr="00811007" w:rsidSect="00590C9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2B3" w:rsidRDefault="00C402B3" w:rsidP="00D94946">
      <w:r>
        <w:separator/>
      </w:r>
    </w:p>
  </w:endnote>
  <w:endnote w:type="continuationSeparator" w:id="1">
    <w:p w:rsidR="00C402B3" w:rsidRDefault="00C402B3" w:rsidP="00D94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2B3" w:rsidRDefault="00C402B3" w:rsidP="00D94946">
      <w:r>
        <w:separator/>
      </w:r>
    </w:p>
  </w:footnote>
  <w:footnote w:type="continuationSeparator" w:id="1">
    <w:p w:rsidR="00C402B3" w:rsidRDefault="00C402B3" w:rsidP="00D949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946"/>
    <w:rsid w:val="000230EC"/>
    <w:rsid w:val="001833F6"/>
    <w:rsid w:val="00195413"/>
    <w:rsid w:val="001F76F1"/>
    <w:rsid w:val="002429AE"/>
    <w:rsid w:val="003F04FA"/>
    <w:rsid w:val="0046593E"/>
    <w:rsid w:val="004C2942"/>
    <w:rsid w:val="004E2A9B"/>
    <w:rsid w:val="00590C98"/>
    <w:rsid w:val="0066389B"/>
    <w:rsid w:val="006840EC"/>
    <w:rsid w:val="0069297D"/>
    <w:rsid w:val="006D0790"/>
    <w:rsid w:val="00770B85"/>
    <w:rsid w:val="0078682F"/>
    <w:rsid w:val="00800F19"/>
    <w:rsid w:val="00811007"/>
    <w:rsid w:val="009D1216"/>
    <w:rsid w:val="00A8702D"/>
    <w:rsid w:val="00AA089F"/>
    <w:rsid w:val="00AD19AC"/>
    <w:rsid w:val="00C13E47"/>
    <w:rsid w:val="00C402B3"/>
    <w:rsid w:val="00C677C2"/>
    <w:rsid w:val="00C97B16"/>
    <w:rsid w:val="00D203D6"/>
    <w:rsid w:val="00D931EB"/>
    <w:rsid w:val="00D93471"/>
    <w:rsid w:val="00D94946"/>
    <w:rsid w:val="00DC44C7"/>
    <w:rsid w:val="00E83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4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49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4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4946"/>
    <w:rPr>
      <w:sz w:val="18"/>
      <w:szCs w:val="18"/>
    </w:rPr>
  </w:style>
  <w:style w:type="character" w:customStyle="1" w:styleId="time">
    <w:name w:val="time"/>
    <w:basedOn w:val="a0"/>
    <w:rsid w:val="00D94946"/>
  </w:style>
  <w:style w:type="paragraph" w:styleId="a5">
    <w:name w:val="Normal (Web)"/>
    <w:basedOn w:val="a"/>
    <w:uiPriority w:val="99"/>
    <w:unhideWhenUsed/>
    <w:rsid w:val="00D949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样式1"/>
    <w:basedOn w:val="a"/>
    <w:link w:val="1Char"/>
    <w:qFormat/>
    <w:rsid w:val="00AA089F"/>
    <w:pPr>
      <w:widowControl/>
      <w:shd w:val="clear" w:color="auto" w:fill="FFFFFF"/>
      <w:spacing w:after="150" w:line="420" w:lineRule="atLeast"/>
      <w:ind w:firstLine="555"/>
      <w:jc w:val="left"/>
    </w:pPr>
    <w:rPr>
      <w:rFonts w:ascii="仿宋_GB2312" w:eastAsia="仿宋_GB2312"/>
      <w:sz w:val="32"/>
      <w:szCs w:val="32"/>
      <w:shd w:val="clear" w:color="auto" w:fill="F7F7F7"/>
    </w:rPr>
  </w:style>
  <w:style w:type="character" w:customStyle="1" w:styleId="1Char">
    <w:name w:val="样式1 Char"/>
    <w:basedOn w:val="a0"/>
    <w:link w:val="1"/>
    <w:rsid w:val="00AA089F"/>
    <w:rPr>
      <w:rFonts w:ascii="仿宋_GB2312" w:eastAsia="仿宋_GB2312"/>
      <w:sz w:val="32"/>
      <w:szCs w:val="32"/>
      <w:shd w:val="clear" w:color="auto" w:fill="FFFFFF"/>
    </w:rPr>
  </w:style>
  <w:style w:type="paragraph" w:styleId="a6">
    <w:name w:val="Date"/>
    <w:basedOn w:val="a"/>
    <w:next w:val="a"/>
    <w:link w:val="Char1"/>
    <w:uiPriority w:val="99"/>
    <w:semiHidden/>
    <w:unhideWhenUsed/>
    <w:rsid w:val="00590C9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90C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432</Words>
  <Characters>2468</Characters>
  <Application>Microsoft Office Word</Application>
  <DocSecurity>0</DocSecurity>
  <Lines>20</Lines>
  <Paragraphs>5</Paragraphs>
  <ScaleCrop>false</ScaleCrop>
  <Company>Lenovo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Miss-PC</dc:creator>
  <cp:lastModifiedBy>PC</cp:lastModifiedBy>
  <cp:revision>7</cp:revision>
  <dcterms:created xsi:type="dcterms:W3CDTF">2017-12-07T03:05:00Z</dcterms:created>
  <dcterms:modified xsi:type="dcterms:W3CDTF">2017-12-07T06:13:00Z</dcterms:modified>
</cp:coreProperties>
</file>