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531"/>
        <w:spacing w:before="181" w:line="219" w:lineRule="auto"/>
        <w:rPr>
          <w:rFonts w:ascii="SimSun" w:hAnsi="SimSun" w:eastAsia="SimSun" w:cs="SimSun"/>
          <w:sz w:val="92"/>
          <w:szCs w:val="92"/>
        </w:rPr>
      </w:pPr>
      <w:r>
        <w:rPr>
          <w:rFonts w:ascii="SimSun" w:hAnsi="SimSun" w:eastAsia="SimSun" w:cs="SimSun"/>
          <w:sz w:val="92"/>
          <w:szCs w:val="92"/>
          <w:b/>
          <w:bCs/>
          <w:color w:val="F41800"/>
          <w:spacing w:val="-84"/>
          <w:w w:val="93"/>
        </w:rPr>
        <w:t>江苏省教育纪检监察学会</w:t>
      </w:r>
    </w:p>
    <w:p>
      <w:pPr>
        <w:ind w:firstLine="10"/>
        <w:spacing w:before="49" w:line="60" w:lineRule="exact"/>
        <w:textAlignment w:val="center"/>
        <w:rPr/>
      </w:pPr>
      <w:r>
        <w:drawing>
          <wp:inline distT="0" distB="0" distL="0" distR="0">
            <wp:extent cx="6051566" cy="38069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51566" cy="3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ind w:left="5550"/>
        <w:spacing w:before="10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苏教纪学[2023]</w:t>
      </w:r>
      <w:r>
        <w:rPr>
          <w:rFonts w:ascii="FangSong" w:hAnsi="FangSong" w:eastAsia="FangSong" w:cs="FangSong"/>
          <w:sz w:val="31"/>
          <w:szCs w:val="31"/>
          <w:spacing w:val="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2号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2216" w:right="1267" w:hanging="1380"/>
        <w:spacing w:before="140" w:line="223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2"/>
        </w:rPr>
        <w:t>关于做好2023年度省教育纪检监察学会</w:t>
      </w:r>
      <w:r>
        <w:rPr>
          <w:rFonts w:ascii="SimSun" w:hAnsi="SimSun" w:eastAsia="SimSun" w:cs="SimSun"/>
          <w:sz w:val="43"/>
          <w:szCs w:val="43"/>
          <w:spacing w:val="1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-6"/>
        </w:rPr>
        <w:t>研究课题申报工作的通知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ind w:left="300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0"/>
        </w:rPr>
        <w:t>各会员单位：</w:t>
      </w:r>
    </w:p>
    <w:p>
      <w:pPr>
        <w:ind w:left="910"/>
        <w:spacing w:before="157" w:line="57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  <w:position w:val="19"/>
        </w:rPr>
        <w:t>根据工作安排，现就做好2023年度学会研究课题申</w:t>
      </w:r>
      <w:r>
        <w:rPr>
          <w:rFonts w:ascii="FangSong" w:hAnsi="FangSong" w:eastAsia="FangSong" w:cs="FangSong"/>
          <w:sz w:val="31"/>
          <w:szCs w:val="31"/>
          <w:spacing w:val="6"/>
          <w:position w:val="19"/>
        </w:rPr>
        <w:t>报工作</w:t>
      </w:r>
    </w:p>
    <w:p>
      <w:pPr>
        <w:ind w:left="300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有关事项通知如下：</w:t>
      </w:r>
    </w:p>
    <w:p>
      <w:pPr>
        <w:ind w:left="300" w:right="713" w:firstLine="610"/>
        <w:spacing w:before="139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一、课题研究要深入贯彻党的二十大精神和习近平总书记在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二十届中央纪委二次全会上的重要讲话精神，围绕学习领会党风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廉政建设和反腐败工作的新部署，坚持正确的政治方向，坚持理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论与实践相结合，深入探索新形势下教育系统党风廉政建设和反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腐败工作的特点、规律和对策，推进全省教育系统党</w:t>
      </w:r>
      <w:r>
        <w:rPr>
          <w:rFonts w:ascii="FangSong" w:hAnsi="FangSong" w:eastAsia="FangSong" w:cs="FangSong"/>
          <w:sz w:val="31"/>
          <w:szCs w:val="31"/>
          <w:spacing w:val="-7"/>
        </w:rPr>
        <w:t>风廉政建设</w:t>
      </w:r>
    </w:p>
    <w:p>
      <w:pPr>
        <w:ind w:left="300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和反腐败工作理论创新和实践创新。</w:t>
      </w:r>
    </w:p>
    <w:p>
      <w:pPr>
        <w:ind w:left="300" w:right="706" w:firstLine="610"/>
        <w:spacing w:before="168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二、课题研究应具有较强的前沿性、原创性、学术性和实践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指导性。课题组负责人必须具有较高的政治素质、学术造诣和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实践经验，学风优良，责任心强，是课题研究实际组织者和指导</w:t>
      </w:r>
    </w:p>
    <w:p>
      <w:pPr>
        <w:ind w:left="300"/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者。</w:t>
      </w:r>
    </w:p>
    <w:p>
      <w:pPr>
        <w:ind w:left="300" w:right="719" w:firstLine="610"/>
        <w:spacing w:before="163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三、课题申报包括一般课题和重点课题。每个单位限申报2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项课题，其中高校会员单位可申报重点课题1项。重点课题申报</w:t>
      </w:r>
    </w:p>
    <w:p>
      <w:pPr>
        <w:ind w:left="300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要围绕“2023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年度省教育纪检监察学会重点课</w:t>
      </w:r>
      <w:r>
        <w:rPr>
          <w:rFonts w:ascii="FangSong" w:hAnsi="FangSong" w:eastAsia="FangSong" w:cs="FangSong"/>
          <w:sz w:val="31"/>
          <w:szCs w:val="31"/>
          <w:spacing w:val="-6"/>
        </w:rPr>
        <w:t>题选题指南”(见</w:t>
      </w:r>
    </w:p>
    <w:p>
      <w:pPr>
        <w:sectPr>
          <w:footerReference w:type="default" r:id="rId1"/>
          <w:pgSz w:w="11910" w:h="16840"/>
          <w:pgMar w:top="1386" w:right="1049" w:bottom="1319" w:left="1319" w:header="0" w:footer="1109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ind w:left="23"/>
        <w:spacing w:before="100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附件1)进行深入研究，课题负责人必须为高校纪检监察在编在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岗人员。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一般课题申报要结合自身专业优势、研</w:t>
      </w:r>
      <w:r>
        <w:rPr>
          <w:rFonts w:ascii="FangSong" w:hAnsi="FangSong" w:eastAsia="FangSong" w:cs="FangSong"/>
          <w:sz w:val="31"/>
          <w:szCs w:val="31"/>
          <w:spacing w:val="-12"/>
        </w:rPr>
        <w:t>究专长和工作实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践，围绕教育系统和本单位党风廉政建设和反腐败工作</w:t>
      </w:r>
      <w:r>
        <w:rPr>
          <w:rFonts w:ascii="FangSong" w:hAnsi="FangSong" w:eastAsia="FangSong" w:cs="FangSong"/>
          <w:sz w:val="31"/>
          <w:szCs w:val="31"/>
          <w:spacing w:val="-7"/>
        </w:rPr>
        <w:t>的体制机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制、大学生廉洁教育、纪检监察干部队伍建设等方面的研究自拟</w:t>
      </w:r>
    </w:p>
    <w:p>
      <w:pPr>
        <w:ind w:left="23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课题，也可以参照重点课题选题指南拟定申报选题。</w:t>
      </w:r>
    </w:p>
    <w:p>
      <w:pPr>
        <w:ind w:left="593"/>
        <w:spacing w:before="20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4"/>
        </w:rPr>
        <w:t>四、</w:t>
      </w:r>
      <w:r>
        <w:rPr>
          <w:rFonts w:ascii="FangSong" w:hAnsi="FangSong" w:eastAsia="FangSong" w:cs="FangSong"/>
          <w:sz w:val="31"/>
          <w:szCs w:val="31"/>
          <w:spacing w:val="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申报办法和评审程序</w:t>
      </w:r>
    </w:p>
    <w:p>
      <w:pPr>
        <w:ind w:left="593"/>
        <w:spacing w:before="163" w:line="54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  <w:position w:val="17"/>
        </w:rPr>
        <w:t>1.填写《2023年度江苏省教育纪检监察学会课题</w:t>
      </w:r>
      <w:r>
        <w:rPr>
          <w:rFonts w:ascii="FangSong" w:hAnsi="FangSong" w:eastAsia="FangSong" w:cs="FangSong"/>
          <w:sz w:val="31"/>
          <w:szCs w:val="31"/>
          <w:spacing w:val="-5"/>
          <w:position w:val="17"/>
        </w:rPr>
        <w:t>申报表》,</w:t>
      </w:r>
    </w:p>
    <w:p>
      <w:pPr>
        <w:ind w:left="23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于4月10日前报送学会秘书处。</w:t>
      </w:r>
    </w:p>
    <w:p>
      <w:pPr>
        <w:ind w:left="593"/>
        <w:spacing w:before="166" w:line="54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  <w:position w:val="16"/>
        </w:rPr>
        <w:t>2.学会组织专家对申报课题进行评审，确定立项。</w:t>
      </w:r>
    </w:p>
    <w:p>
      <w:pPr>
        <w:ind w:left="593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3.发文下达研究课题项目。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ind w:left="59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0"/>
        </w:rPr>
        <w:t>联系方式：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0"/>
        </w:rPr>
        <w:t>025-83335851</w:t>
      </w:r>
      <w:r>
        <w:rPr>
          <w:rFonts w:ascii="FangSong" w:hAnsi="FangSong" w:eastAsia="FangSong" w:cs="FangSong"/>
          <w:sz w:val="31"/>
          <w:szCs w:val="31"/>
          <w:spacing w:val="6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0"/>
        </w:rPr>
        <w:t>13813911918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0"/>
        </w:rPr>
        <w:t>吴老师</w:t>
      </w:r>
    </w:p>
    <w:p>
      <w:pPr>
        <w:ind w:left="593"/>
        <w:spacing w:before="167" w:line="53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  <w:position w:val="16"/>
        </w:rPr>
        <w:t>地</w:t>
      </w:r>
      <w:r>
        <w:rPr>
          <w:rFonts w:ascii="FangSong" w:hAnsi="FangSong" w:eastAsia="FangSong" w:cs="FangSong"/>
          <w:sz w:val="31"/>
          <w:szCs w:val="31"/>
          <w:spacing w:val="19"/>
          <w:position w:val="1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3"/>
          <w:position w:val="16"/>
        </w:rPr>
        <w:t>址：南京市北京西路15-2号9号楼601</w:t>
      </w:r>
    </w:p>
    <w:p>
      <w:pPr>
        <w:ind w:left="593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邮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3"/>
        </w:rPr>
        <w:t>编：210024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ind w:left="593"/>
        <w:spacing w:before="101" w:line="55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  <w:position w:val="17"/>
        </w:rPr>
        <w:t>附件1.2023年度省教育纪检监察学会重点课题选题指南</w:t>
      </w:r>
    </w:p>
    <w:p>
      <w:pPr>
        <w:ind w:left="593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附件2.2023年度省教育纪检监察学会课题申报表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4753"/>
        <w:spacing w:before="102" w:line="544" w:lineRule="exact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3253386</wp:posOffset>
            </wp:positionH>
            <wp:positionV relativeFrom="paragraph">
              <wp:posOffset>-618920</wp:posOffset>
            </wp:positionV>
            <wp:extent cx="1460537" cy="1498573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0537" cy="1498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-6"/>
          <w:position w:val="17"/>
        </w:rPr>
        <w:t>江苏省教育纪检监察学会</w:t>
      </w:r>
    </w:p>
    <w:p>
      <w:pPr>
        <w:ind w:left="5203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1"/>
        </w:rPr>
        <w:t>2023年2月28日</w:t>
      </w:r>
    </w:p>
    <w:p>
      <w:pPr>
        <w:sectPr>
          <w:footerReference w:type="default" r:id="rId3"/>
          <w:pgSz w:w="11910" w:h="16840"/>
          <w:pgMar w:top="1431" w:right="1568" w:bottom="1238" w:left="1786" w:header="0" w:footer="1099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ind w:left="430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4"/>
        </w:rPr>
        <w:t>附件1</w:t>
      </w:r>
    </w:p>
    <w:p>
      <w:pPr>
        <w:ind w:left="1876"/>
        <w:spacing w:before="193" w:line="585" w:lineRule="exact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4"/>
          <w:position w:val="11"/>
        </w:rPr>
        <w:t>2023年度省教育纪检监察学会</w:t>
      </w:r>
    </w:p>
    <w:p>
      <w:pPr>
        <w:ind w:left="3016"/>
        <w:spacing w:before="1" w:line="220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7"/>
        </w:rPr>
        <w:t>重点课题选题指南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ind w:left="539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7"/>
        </w:rPr>
        <w:t>1.</w:t>
      </w:r>
      <w:r>
        <w:rPr>
          <w:rFonts w:ascii="FangSong" w:hAnsi="FangSong" w:eastAsia="FangSong" w:cs="FangSong"/>
          <w:sz w:val="32"/>
          <w:szCs w:val="32"/>
          <w:spacing w:val="-7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党的自我革命研究；</w:t>
      </w:r>
    </w:p>
    <w:p>
      <w:pPr>
        <w:ind w:left="539"/>
        <w:spacing w:before="138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2.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高校围绕贯彻落实党的二十大战略部署强化</w:t>
      </w:r>
      <w:r>
        <w:rPr>
          <w:rFonts w:ascii="FangSong" w:hAnsi="FangSong" w:eastAsia="FangSong" w:cs="FangSong"/>
          <w:sz w:val="32"/>
          <w:szCs w:val="32"/>
          <w:spacing w:val="-14"/>
        </w:rPr>
        <w:t>政治监督研究；</w:t>
      </w:r>
    </w:p>
    <w:p>
      <w:pPr>
        <w:ind w:left="539"/>
        <w:spacing w:before="13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1"/>
        </w:rPr>
        <w:t>3.</w:t>
      </w:r>
      <w:r>
        <w:rPr>
          <w:rFonts w:ascii="FangSong" w:hAnsi="FangSong" w:eastAsia="FangSong" w:cs="FangSong"/>
          <w:sz w:val="32"/>
          <w:szCs w:val="32"/>
          <w:spacing w:val="-7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1"/>
        </w:rPr>
        <w:t>聚焦教育领域“国之大者”推进高校政治监督具体化精准化常</w:t>
      </w:r>
      <w:r>
        <w:rPr>
          <w:rFonts w:ascii="FangSong" w:hAnsi="FangSong" w:eastAsia="FangSong" w:cs="FangSong"/>
          <w:sz w:val="32"/>
          <w:szCs w:val="32"/>
          <w:spacing w:val="-22"/>
        </w:rPr>
        <w:t>态</w:t>
      </w:r>
    </w:p>
    <w:p>
      <w:pPr>
        <w:spacing w:before="138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8"/>
        </w:rPr>
        <w:t>化研究；</w:t>
      </w:r>
    </w:p>
    <w:p>
      <w:pPr>
        <w:ind w:left="539"/>
        <w:spacing w:before="13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4.</w:t>
      </w:r>
      <w:r>
        <w:rPr>
          <w:rFonts w:ascii="FangSong" w:hAnsi="FangSong" w:eastAsia="FangSong" w:cs="FangSong"/>
          <w:sz w:val="32"/>
          <w:szCs w:val="32"/>
          <w:spacing w:val="-9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健全全面从严治党体系的科学内涵与实践路径研究</w:t>
      </w:r>
      <w:r>
        <w:rPr>
          <w:rFonts w:ascii="FangSong" w:hAnsi="FangSong" w:eastAsia="FangSong" w:cs="FangSong"/>
          <w:sz w:val="32"/>
          <w:szCs w:val="32"/>
          <w:spacing w:val="-14"/>
        </w:rPr>
        <w:t>；</w:t>
      </w:r>
    </w:p>
    <w:p>
      <w:pPr>
        <w:ind w:left="539"/>
        <w:spacing w:before="13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5.</w:t>
      </w:r>
      <w:r>
        <w:rPr>
          <w:rFonts w:ascii="FangSong" w:hAnsi="FangSong" w:eastAsia="FangSong" w:cs="FangSong"/>
          <w:sz w:val="32"/>
          <w:szCs w:val="32"/>
          <w:spacing w:val="-7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巩固作风建设成果，持续纠治形式主义、官僚主义问题研究；</w:t>
      </w:r>
    </w:p>
    <w:p>
      <w:pPr>
        <w:ind w:left="539"/>
        <w:spacing w:before="143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1"/>
        </w:rPr>
        <w:t>6.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1"/>
        </w:rPr>
        <w:t>教育领域坚持系统观念高质量一体推进“三不腐”的目标与策略</w:t>
      </w:r>
    </w:p>
    <w:p>
      <w:pPr>
        <w:spacing w:before="13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1"/>
        </w:rPr>
        <w:t>研究；</w:t>
      </w:r>
    </w:p>
    <w:p>
      <w:pPr>
        <w:ind w:left="539"/>
        <w:spacing w:before="133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7.</w:t>
      </w:r>
      <w:r>
        <w:rPr>
          <w:rFonts w:ascii="FangSong" w:hAnsi="FangSong" w:eastAsia="FangSong" w:cs="FangSong"/>
          <w:sz w:val="32"/>
          <w:szCs w:val="32"/>
          <w:spacing w:val="-8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加强高校重点领域监督机制改革和制度建设</w:t>
      </w:r>
      <w:r>
        <w:rPr>
          <w:rFonts w:ascii="FangSong" w:hAnsi="FangSong" w:eastAsia="FangSong" w:cs="FangSong"/>
          <w:sz w:val="32"/>
          <w:szCs w:val="32"/>
          <w:spacing w:val="-14"/>
        </w:rPr>
        <w:t>研究；</w:t>
      </w:r>
    </w:p>
    <w:p>
      <w:pPr>
        <w:ind w:left="539"/>
        <w:spacing w:before="137" w:line="52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  <w:position w:val="14"/>
        </w:rPr>
        <w:t>8.</w:t>
      </w:r>
      <w:r>
        <w:rPr>
          <w:rFonts w:ascii="FangSong" w:hAnsi="FangSong" w:eastAsia="FangSong" w:cs="FangSong"/>
          <w:sz w:val="32"/>
          <w:szCs w:val="32"/>
          <w:spacing w:val="-71"/>
          <w:position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  <w:position w:val="14"/>
        </w:rPr>
        <w:t>推进教育领域主责监管与专责监督融合贯通、健全监督体系的</w:t>
      </w:r>
    </w:p>
    <w:p>
      <w:pPr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0"/>
        </w:rPr>
        <w:t>探索与实践；</w:t>
      </w:r>
    </w:p>
    <w:p>
      <w:pPr>
        <w:ind w:left="539"/>
        <w:spacing w:before="131" w:line="524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  <w:position w:val="14"/>
        </w:rPr>
        <w:t>9.</w:t>
      </w:r>
      <w:r>
        <w:rPr>
          <w:rFonts w:ascii="FangSong" w:hAnsi="FangSong" w:eastAsia="FangSong" w:cs="FangSong"/>
          <w:sz w:val="32"/>
          <w:szCs w:val="32"/>
          <w:spacing w:val="-63"/>
          <w:position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  <w:position w:val="14"/>
        </w:rPr>
        <w:t>高校治理现代化视阈下全面从严治党引领保障作用的发挥机制</w:t>
      </w:r>
    </w:p>
    <w:p>
      <w:pPr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1"/>
        </w:rPr>
        <w:t>研究；</w:t>
      </w:r>
    </w:p>
    <w:p>
      <w:pPr>
        <w:ind w:left="539"/>
        <w:spacing w:before="13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5"/>
        </w:rPr>
        <w:t>10.</w:t>
      </w:r>
      <w:r>
        <w:rPr>
          <w:rFonts w:ascii="FangSong" w:hAnsi="FangSong" w:eastAsia="FangSong" w:cs="FangSong"/>
          <w:sz w:val="32"/>
          <w:szCs w:val="32"/>
          <w:spacing w:val="-7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纪检监督融入高校治理的路径构建；</w:t>
      </w:r>
    </w:p>
    <w:p>
      <w:pPr>
        <w:ind w:left="539"/>
        <w:spacing w:before="140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11.</w:t>
      </w:r>
      <w:r>
        <w:rPr>
          <w:rFonts w:ascii="FangSong" w:hAnsi="FangSong" w:eastAsia="FangSong" w:cs="FangSong"/>
          <w:sz w:val="32"/>
          <w:szCs w:val="32"/>
          <w:spacing w:val="-7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新形势下高校政治生态的内涵、评价与优化路径研究；</w:t>
      </w:r>
    </w:p>
    <w:p>
      <w:pPr>
        <w:ind w:left="539" w:right="3048"/>
        <w:spacing w:before="135" w:line="26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6"/>
        </w:rPr>
        <w:t>12.</w:t>
      </w:r>
      <w:r>
        <w:rPr>
          <w:rFonts w:ascii="FangSong" w:hAnsi="FangSong" w:eastAsia="FangSong" w:cs="FangSong"/>
          <w:sz w:val="32"/>
          <w:szCs w:val="32"/>
          <w:spacing w:val="-6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高校全面从严治党制度体系建设研究；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13.加强新时代高校廉洁文化建设研究；</w:t>
      </w:r>
    </w:p>
    <w:p>
      <w:pPr>
        <w:ind w:left="539" w:right="688"/>
        <w:spacing w:before="135" w:line="26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6"/>
        </w:rPr>
        <w:t>14.</w:t>
      </w:r>
      <w:r>
        <w:rPr>
          <w:rFonts w:ascii="FangSong" w:hAnsi="FangSong" w:eastAsia="FangSong" w:cs="FangSong"/>
          <w:sz w:val="32"/>
          <w:szCs w:val="32"/>
          <w:spacing w:val="-9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构建新时代高校年轻干部/青年教师廉洁风险防范机制；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0"/>
        </w:rPr>
        <w:t>15.</w:t>
      </w:r>
      <w:r>
        <w:rPr>
          <w:rFonts w:ascii="FangSong" w:hAnsi="FangSong" w:eastAsia="FangSong" w:cs="FangSong"/>
          <w:sz w:val="32"/>
          <w:szCs w:val="32"/>
          <w:spacing w:val="-2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0"/>
        </w:rPr>
        <w:t>“三个区分开来”原则下高质量监督执纪问</w:t>
      </w:r>
      <w:r>
        <w:rPr>
          <w:rFonts w:ascii="FangSong" w:hAnsi="FangSong" w:eastAsia="FangSong" w:cs="FangSong"/>
          <w:sz w:val="32"/>
          <w:szCs w:val="32"/>
          <w:spacing w:val="-31"/>
        </w:rPr>
        <w:t>责的实践探索；</w:t>
      </w:r>
    </w:p>
    <w:p>
      <w:pPr>
        <w:sectPr>
          <w:footerReference w:type="default" r:id="rId5"/>
          <w:pgSz w:w="11910" w:h="16840"/>
          <w:pgMar w:top="1431" w:right="1401" w:bottom="1258" w:left="1219" w:header="0" w:footer="1119" w:gutter="0"/>
        </w:sectPr>
        <w:rPr/>
      </w:pP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left="550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5"/>
        </w:rPr>
        <w:t>16.</w:t>
      </w:r>
      <w:r>
        <w:rPr>
          <w:rFonts w:ascii="FangSong" w:hAnsi="FangSong" w:eastAsia="FangSong" w:cs="FangSong"/>
          <w:sz w:val="32"/>
          <w:szCs w:val="32"/>
          <w:spacing w:val="-8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5"/>
        </w:rPr>
        <w:t>增强全面从严治党综合效应、弘扬“四敢”精神研</w:t>
      </w:r>
      <w:r>
        <w:rPr>
          <w:rFonts w:ascii="FangSong" w:hAnsi="FangSong" w:eastAsia="FangSong" w:cs="FangSong"/>
          <w:sz w:val="32"/>
          <w:szCs w:val="32"/>
          <w:spacing w:val="-26"/>
        </w:rPr>
        <w:t>究；</w:t>
      </w:r>
    </w:p>
    <w:p>
      <w:pPr>
        <w:ind w:left="550"/>
        <w:spacing w:before="129" w:line="525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7"/>
          <w:position w:val="14"/>
        </w:rPr>
        <w:t>17.</w:t>
      </w:r>
      <w:r>
        <w:rPr>
          <w:rFonts w:ascii="FangSong" w:hAnsi="FangSong" w:eastAsia="FangSong" w:cs="FangSong"/>
          <w:sz w:val="32"/>
          <w:szCs w:val="32"/>
          <w:spacing w:val="-36"/>
          <w:position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  <w:position w:val="14"/>
        </w:rPr>
        <w:t>以“全周期管理”方式系统推进正风反腐在高校纪检监察工</w:t>
      </w:r>
      <w:r>
        <w:rPr>
          <w:rFonts w:ascii="FangSong" w:hAnsi="FangSong" w:eastAsia="FangSong" w:cs="FangSong"/>
          <w:sz w:val="32"/>
          <w:szCs w:val="32"/>
          <w:spacing w:val="-18"/>
          <w:position w:val="14"/>
        </w:rPr>
        <w:t>作</w:t>
      </w:r>
    </w:p>
    <w:p>
      <w:pPr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1"/>
        </w:rPr>
        <w:t>中的运用研究；</w:t>
      </w:r>
    </w:p>
    <w:p>
      <w:pPr>
        <w:ind w:left="550"/>
        <w:spacing w:before="13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2"/>
        </w:rPr>
        <w:t>18.</w:t>
      </w:r>
      <w:r>
        <w:rPr>
          <w:rFonts w:ascii="FangSong" w:hAnsi="FangSong" w:eastAsia="FangSong" w:cs="FangSong"/>
          <w:sz w:val="32"/>
          <w:szCs w:val="32"/>
          <w:spacing w:val="-9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基于协助职责和监督责任视角加强师德师</w:t>
      </w:r>
      <w:r>
        <w:rPr>
          <w:rFonts w:ascii="FangSong" w:hAnsi="FangSong" w:eastAsia="FangSong" w:cs="FangSong"/>
          <w:sz w:val="32"/>
          <w:szCs w:val="32"/>
          <w:spacing w:val="-13"/>
        </w:rPr>
        <w:t>风建设的思考；</w:t>
      </w:r>
    </w:p>
    <w:p>
      <w:pPr>
        <w:ind w:left="550"/>
        <w:spacing w:before="131" w:line="524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6"/>
          <w:position w:val="14"/>
        </w:rPr>
        <w:t>19.</w:t>
      </w:r>
      <w:r>
        <w:rPr>
          <w:rFonts w:ascii="FangSong" w:hAnsi="FangSong" w:eastAsia="FangSong" w:cs="FangSong"/>
          <w:sz w:val="32"/>
          <w:szCs w:val="32"/>
          <w:spacing w:val="-57"/>
          <w:position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6"/>
          <w:position w:val="14"/>
        </w:rPr>
        <w:t>高校纪检系统贯彻《中共中央关于加强对“一把手”和领导班子</w:t>
      </w:r>
    </w:p>
    <w:p>
      <w:pPr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2"/>
        </w:rPr>
        <w:t>监督的意见》实现路径研究</w:t>
      </w:r>
    </w:p>
    <w:p>
      <w:pPr>
        <w:ind w:left="550"/>
        <w:spacing w:before="131" w:line="524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6"/>
          <w:position w:val="14"/>
        </w:rPr>
        <w:t>20.</w:t>
      </w:r>
      <w:r>
        <w:rPr>
          <w:rFonts w:ascii="FangSong" w:hAnsi="FangSong" w:eastAsia="FangSong" w:cs="FangSong"/>
          <w:sz w:val="32"/>
          <w:szCs w:val="32"/>
          <w:spacing w:val="-51"/>
          <w:position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  <w:position w:val="14"/>
        </w:rPr>
        <w:t>高校纪检监察体制改革的经验总结、成果拓展、现实困境与推</w:t>
      </w:r>
    </w:p>
    <w:p>
      <w:pPr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0"/>
        </w:rPr>
        <w:t>进路径研究；</w:t>
      </w:r>
    </w:p>
    <w:p>
      <w:pPr>
        <w:ind w:left="550"/>
        <w:spacing w:before="132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21.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高校监察权运行机制研究；</w:t>
      </w:r>
    </w:p>
    <w:p>
      <w:pPr>
        <w:ind w:left="550"/>
        <w:spacing w:before="136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5"/>
        </w:rPr>
        <w:t>22.</w:t>
      </w:r>
      <w:r>
        <w:rPr>
          <w:rFonts w:ascii="FangSong" w:hAnsi="FangSong" w:eastAsia="FangSong" w:cs="FangSong"/>
          <w:sz w:val="32"/>
          <w:szCs w:val="32"/>
          <w:spacing w:val="-6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新形势下加强高校纪检监察工作规范化、法治化、正规化研究</w:t>
      </w:r>
    </w:p>
    <w:p>
      <w:pPr>
        <w:ind w:left="550"/>
        <w:spacing w:before="139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2"/>
        </w:rPr>
        <w:t>23.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新时代教育领域高素质纪检监察干部队伍建设研究；</w:t>
      </w:r>
    </w:p>
    <w:p>
      <w:pPr>
        <w:ind w:left="550"/>
        <w:spacing w:before="141" w:line="521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2"/>
          <w:position w:val="14"/>
        </w:rPr>
        <w:t>24.</w:t>
      </w:r>
      <w:r>
        <w:rPr>
          <w:rFonts w:ascii="FangSong" w:hAnsi="FangSong" w:eastAsia="FangSong" w:cs="FangSong"/>
          <w:sz w:val="32"/>
          <w:szCs w:val="32"/>
          <w:spacing w:val="-15"/>
          <w:position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2"/>
          <w:position w:val="14"/>
        </w:rPr>
        <w:t>“大数据+党风廉政建设”模式下高校干部廉政档案建设与运用</w:t>
      </w:r>
    </w:p>
    <w:p>
      <w:pPr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研究；</w:t>
      </w:r>
    </w:p>
    <w:p>
      <w:pPr>
        <w:ind w:left="550"/>
        <w:spacing w:before="132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2"/>
        </w:rPr>
        <w:t>25.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融媒体语境下高校党风廉政建设的策略创新研</w:t>
      </w:r>
      <w:r>
        <w:rPr>
          <w:rFonts w:ascii="FangSong" w:hAnsi="FangSong" w:eastAsia="FangSong" w:cs="FangSong"/>
          <w:sz w:val="32"/>
          <w:szCs w:val="32"/>
          <w:spacing w:val="-13"/>
        </w:rPr>
        <w:t>究；</w:t>
      </w:r>
    </w:p>
    <w:p>
      <w:pPr>
        <w:ind w:left="550"/>
        <w:spacing w:before="137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26.</w:t>
      </w:r>
      <w:r>
        <w:rPr>
          <w:rFonts w:ascii="FangSong" w:hAnsi="FangSong" w:eastAsia="FangSong" w:cs="FangSong"/>
          <w:sz w:val="32"/>
          <w:szCs w:val="32"/>
          <w:spacing w:val="-8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新时代具有民办高校/职业院校特点的反腐倡廉建</w:t>
      </w:r>
      <w:r>
        <w:rPr>
          <w:rFonts w:ascii="FangSong" w:hAnsi="FangSong" w:eastAsia="FangSong" w:cs="FangSong"/>
          <w:sz w:val="32"/>
          <w:szCs w:val="32"/>
          <w:spacing w:val="-14"/>
        </w:rPr>
        <w:t>设研究；</w:t>
      </w:r>
    </w:p>
    <w:p>
      <w:pPr>
        <w:ind w:left="550"/>
        <w:spacing w:before="134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2"/>
        </w:rPr>
        <w:t>27.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推动纪检监察学纳入高校通识教育课程的实践探索；</w:t>
      </w:r>
    </w:p>
    <w:p>
      <w:pPr>
        <w:ind w:left="550"/>
        <w:spacing w:before="142" w:line="519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5"/>
          <w:position w:val="14"/>
        </w:rPr>
        <w:t>28.</w:t>
      </w:r>
      <w:r>
        <w:rPr>
          <w:rFonts w:ascii="FangSong" w:hAnsi="FangSong" w:eastAsia="FangSong" w:cs="FangSong"/>
          <w:sz w:val="32"/>
          <w:szCs w:val="32"/>
          <w:spacing w:val="-74"/>
          <w:position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  <w:position w:val="14"/>
        </w:rPr>
        <w:t>贯彻落实《关于加强巡视整改和成果运用的意见》对提升大学</w:t>
      </w:r>
    </w:p>
    <w:p>
      <w:pPr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6"/>
        </w:rPr>
        <w:t>治理效能的贡献研究；</w:t>
      </w:r>
    </w:p>
    <w:p>
      <w:pPr>
        <w:ind w:left="550"/>
        <w:spacing w:before="137" w:line="52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4"/>
          <w:position w:val="14"/>
        </w:rPr>
        <w:t>29.</w:t>
      </w:r>
      <w:r>
        <w:rPr>
          <w:rFonts w:ascii="FangSong" w:hAnsi="FangSong" w:eastAsia="FangSong" w:cs="FangSong"/>
          <w:sz w:val="32"/>
          <w:szCs w:val="32"/>
          <w:spacing w:val="-26"/>
          <w:position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4"/>
          <w:position w:val="14"/>
        </w:rPr>
        <w:t>以系统观念构建“上下联动”格局，</w:t>
      </w:r>
      <w:r>
        <w:rPr>
          <w:rFonts w:ascii="FangSong" w:hAnsi="FangSong" w:eastAsia="FangSong" w:cs="FangSong"/>
          <w:sz w:val="32"/>
          <w:szCs w:val="32"/>
          <w:spacing w:val="71"/>
          <w:position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4"/>
          <w:position w:val="14"/>
        </w:rPr>
        <w:t>一体推进巡视巡察高质量发</w:t>
      </w:r>
    </w:p>
    <w:p>
      <w:pPr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8"/>
        </w:rPr>
        <w:t>展研究；</w:t>
      </w:r>
    </w:p>
    <w:p>
      <w:pPr>
        <w:ind w:left="550"/>
        <w:spacing w:before="132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2"/>
        </w:rPr>
        <w:t>30.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新时代巡视巡察制度法治化建设路径探索。</w:t>
      </w:r>
    </w:p>
    <w:p>
      <w:pPr>
        <w:sectPr>
          <w:footerReference w:type="default" r:id="rId6"/>
          <w:pgSz w:w="11910" w:h="16840"/>
          <w:pgMar w:top="1431" w:right="1296" w:bottom="1245" w:left="1299" w:header="0" w:footer="1096" w:gutter="0"/>
        </w:sectPr>
        <w:rPr/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315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0"/>
        </w:rPr>
        <w:t>附件2</w:t>
      </w:r>
    </w:p>
    <w:p>
      <w:pPr>
        <w:ind w:left="321"/>
        <w:spacing w:before="177" w:line="223" w:lineRule="auto"/>
        <w:rPr>
          <w:rFonts w:ascii="KaiTi" w:hAnsi="KaiTi" w:eastAsia="KaiTi" w:cs="KaiTi"/>
          <w:sz w:val="46"/>
          <w:szCs w:val="46"/>
        </w:rPr>
      </w:pPr>
      <w:r>
        <w:rPr>
          <w:rFonts w:ascii="KaiTi" w:hAnsi="KaiTi" w:eastAsia="KaiTi" w:cs="KaiTi"/>
          <w:sz w:val="46"/>
          <w:szCs w:val="46"/>
          <w:b/>
          <w:bCs/>
          <w:spacing w:val="5"/>
        </w:rPr>
        <w:t>2023年度省教育纪检监察学会课题申报表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ind w:left="315"/>
        <w:spacing w:before="101" w:line="22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4"/>
        </w:rPr>
        <w:t>申报单位(盖章):</w:t>
      </w:r>
    </w:p>
    <w:p>
      <w:pPr>
        <w:spacing w:line="87" w:lineRule="exact"/>
        <w:rPr/>
      </w:pPr>
      <w:r/>
    </w:p>
    <w:tbl>
      <w:tblPr>
        <w:tblStyle w:val="2"/>
        <w:tblW w:w="9202" w:type="dxa"/>
        <w:tblInd w:w="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84"/>
        <w:gridCol w:w="1568"/>
        <w:gridCol w:w="859"/>
        <w:gridCol w:w="360"/>
        <w:gridCol w:w="2418"/>
        <w:gridCol w:w="2613"/>
      </w:tblGrid>
      <w:tr>
        <w:trPr>
          <w:trHeight w:val="545" w:hRule="atLeast"/>
        </w:trPr>
        <w:tc>
          <w:tcPr>
            <w:tcW w:w="1384" w:type="dxa"/>
            <w:vAlign w:val="top"/>
            <w:vMerge w:val="restart"/>
            <w:tcBorders>
              <w:left w:val="single" w:color="000000" w:sz="2" w:space="0"/>
              <w:bottom w:val="none" w:color="000000" w:sz="2" w:space="0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219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申报课题</w:t>
            </w:r>
          </w:p>
        </w:tc>
        <w:tc>
          <w:tcPr>
            <w:tcW w:w="2787" w:type="dxa"/>
            <w:vAlign w:val="top"/>
            <w:gridSpan w:val="3"/>
          </w:tcPr>
          <w:p>
            <w:pPr>
              <w:ind w:left="1043"/>
              <w:spacing w:before="167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6"/>
              </w:rPr>
              <w:t>名</w:t>
            </w:r>
            <w:r>
              <w:rPr>
                <w:rFonts w:ascii="SimSun" w:hAnsi="SimSun" w:eastAsia="SimSun" w:cs="SimSun"/>
                <w:sz w:val="23"/>
                <w:szCs w:val="23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6"/>
              </w:rPr>
              <w:t>称</w:t>
            </w:r>
          </w:p>
        </w:tc>
        <w:tc>
          <w:tcPr>
            <w:tcW w:w="50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0" w:hRule="atLeast"/>
        </w:trPr>
        <w:tc>
          <w:tcPr>
            <w:tcW w:w="1384" w:type="dxa"/>
            <w:vAlign w:val="top"/>
            <w:vMerge w:val="continue"/>
            <w:tcBorders>
              <w:left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87" w:type="dxa"/>
            <w:vAlign w:val="top"/>
            <w:gridSpan w:val="3"/>
          </w:tcPr>
          <w:p>
            <w:pPr>
              <w:ind w:left="463"/>
              <w:spacing w:before="259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是否申报重点课题</w:t>
            </w:r>
          </w:p>
        </w:tc>
        <w:tc>
          <w:tcPr>
            <w:tcW w:w="50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1384" w:type="dxa"/>
            <w:vAlign w:val="top"/>
            <w:vMerge w:val="restart"/>
            <w:tcBorders>
              <w:left w:val="single" w:color="000000" w:sz="2" w:space="0"/>
              <w:bottom w:val="none" w:color="000000" w:sz="2" w:space="0"/>
            </w:tcBorders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ind w:left="90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课题负责人</w:t>
            </w:r>
          </w:p>
        </w:tc>
        <w:tc>
          <w:tcPr>
            <w:tcW w:w="1568" w:type="dxa"/>
            <w:vAlign w:val="top"/>
          </w:tcPr>
          <w:p>
            <w:pPr>
              <w:ind w:left="543"/>
              <w:spacing w:before="239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4"/>
              </w:rPr>
              <w:t>姓名</w:t>
            </w:r>
          </w:p>
        </w:tc>
        <w:tc>
          <w:tcPr>
            <w:tcW w:w="859" w:type="dxa"/>
            <w:vAlign w:val="top"/>
          </w:tcPr>
          <w:p>
            <w:pPr>
              <w:ind w:left="195"/>
              <w:spacing w:before="249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年龄</w:t>
            </w:r>
          </w:p>
        </w:tc>
        <w:tc>
          <w:tcPr>
            <w:tcW w:w="2778" w:type="dxa"/>
            <w:vAlign w:val="top"/>
            <w:gridSpan w:val="2"/>
          </w:tcPr>
          <w:p>
            <w:pPr>
              <w:ind w:left="806"/>
              <w:spacing w:before="159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职务、职称</w:t>
            </w:r>
          </w:p>
        </w:tc>
        <w:tc>
          <w:tcPr>
            <w:tcW w:w="2613" w:type="dxa"/>
            <w:vAlign w:val="top"/>
          </w:tcPr>
          <w:p>
            <w:pPr>
              <w:ind w:left="838"/>
              <w:spacing w:before="248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手机号码</w:t>
            </w:r>
          </w:p>
        </w:tc>
      </w:tr>
      <w:tr>
        <w:trPr>
          <w:trHeight w:val="589" w:hRule="atLeast"/>
        </w:trPr>
        <w:tc>
          <w:tcPr>
            <w:tcW w:w="1384" w:type="dxa"/>
            <w:vAlign w:val="top"/>
            <w:vMerge w:val="continue"/>
            <w:tcBorders>
              <w:left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1384" w:type="dxa"/>
            <w:vAlign w:val="top"/>
            <w:vMerge w:val="restart"/>
            <w:tcBorders>
              <w:left w:val="single" w:color="000000" w:sz="2" w:space="0"/>
              <w:bottom w:val="none" w:color="000000" w:sz="2" w:space="0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90"/>
              <w:spacing w:before="75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课题组成员</w:t>
            </w:r>
          </w:p>
        </w:tc>
        <w:tc>
          <w:tcPr>
            <w:tcW w:w="1568" w:type="dxa"/>
            <w:vAlign w:val="top"/>
          </w:tcPr>
          <w:p>
            <w:pPr>
              <w:ind w:left="543"/>
              <w:spacing w:before="221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4"/>
              </w:rPr>
              <w:t>姓名</w:t>
            </w:r>
          </w:p>
        </w:tc>
        <w:tc>
          <w:tcPr>
            <w:tcW w:w="859" w:type="dxa"/>
            <w:vAlign w:val="top"/>
          </w:tcPr>
          <w:p>
            <w:pPr>
              <w:ind w:left="195"/>
              <w:spacing w:before="241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年龄</w:t>
            </w:r>
          </w:p>
        </w:tc>
        <w:tc>
          <w:tcPr>
            <w:tcW w:w="2778" w:type="dxa"/>
            <w:vAlign w:val="top"/>
            <w:gridSpan w:val="2"/>
          </w:tcPr>
          <w:p>
            <w:pPr>
              <w:ind w:left="806"/>
              <w:spacing w:before="161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职务、职称</w:t>
            </w:r>
          </w:p>
        </w:tc>
        <w:tc>
          <w:tcPr>
            <w:tcW w:w="2613" w:type="dxa"/>
            <w:vAlign w:val="top"/>
          </w:tcPr>
          <w:p>
            <w:pPr>
              <w:ind w:left="838"/>
              <w:spacing w:before="260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手机号码</w:t>
            </w:r>
          </w:p>
        </w:tc>
      </w:tr>
      <w:tr>
        <w:trPr>
          <w:trHeight w:val="549" w:hRule="atLeast"/>
        </w:trPr>
        <w:tc>
          <w:tcPr>
            <w:tcW w:w="1384" w:type="dxa"/>
            <w:vAlign w:val="top"/>
            <w:vMerge w:val="continue"/>
            <w:tcBorders>
              <w:left w:val="single" w:color="000000" w:sz="2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0" w:hRule="atLeast"/>
        </w:trPr>
        <w:tc>
          <w:tcPr>
            <w:tcW w:w="1384" w:type="dxa"/>
            <w:vAlign w:val="top"/>
            <w:vMerge w:val="continue"/>
            <w:tcBorders>
              <w:left w:val="single" w:color="000000" w:sz="2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0" w:hRule="atLeast"/>
        </w:trPr>
        <w:tc>
          <w:tcPr>
            <w:tcW w:w="1384" w:type="dxa"/>
            <w:vAlign w:val="top"/>
            <w:vMerge w:val="continue"/>
            <w:tcBorders>
              <w:left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7" w:hRule="atLeast"/>
        </w:trPr>
        <w:tc>
          <w:tcPr>
            <w:tcW w:w="1384" w:type="dxa"/>
            <w:vAlign w:val="top"/>
            <w:tcBorders>
              <w:left w:val="single" w:color="000000" w:sz="2" w:space="0"/>
            </w:tcBorders>
          </w:tcPr>
          <w:p>
            <w:pPr>
              <w:ind w:left="90"/>
              <w:spacing w:before="254" w:line="48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课题的研究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思路、方法、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创新之处及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预期成果(另</w:t>
            </w:r>
          </w:p>
          <w:p>
            <w:pPr>
              <w:ind w:left="90"/>
              <w:spacing w:line="23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2"/>
              </w:rPr>
              <w:t>行附页)</w:t>
            </w:r>
          </w:p>
        </w:tc>
        <w:tc>
          <w:tcPr>
            <w:tcW w:w="781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2" w:hRule="atLeast"/>
        </w:trPr>
        <w:tc>
          <w:tcPr>
            <w:tcW w:w="1384" w:type="dxa"/>
            <w:vAlign w:val="top"/>
            <w:tcBorders>
              <w:left w:val="single" w:color="000000" w:sz="2" w:space="0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90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课题研究</w:t>
            </w:r>
          </w:p>
          <w:p>
            <w:pPr>
              <w:ind w:left="90"/>
              <w:spacing w:before="297" w:line="534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  <w:position w:val="23"/>
              </w:rPr>
              <w:t>提纲(另行附</w:t>
            </w:r>
          </w:p>
          <w:p>
            <w:pPr>
              <w:ind w:left="90"/>
              <w:spacing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页</w:t>
            </w:r>
            <w:r>
              <w:rPr>
                <w:rFonts w:ascii="SimSun" w:hAnsi="SimSun" w:eastAsia="SimSun" w:cs="SimSun"/>
                <w:sz w:val="23"/>
                <w:szCs w:val="23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)</w:t>
            </w:r>
          </w:p>
        </w:tc>
        <w:tc>
          <w:tcPr>
            <w:tcW w:w="781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10" w:h="16840"/>
          <w:pgMar w:top="1431" w:right="1425" w:bottom="1197" w:left="1274" w:header="0" w:footer="1059" w:gutter="0"/>
        </w:sectPr>
        <w:rPr/>
      </w:pPr>
    </w:p>
    <w:p>
      <w:pPr>
        <w:rPr>
          <w:rFonts w:ascii="Arial"/>
          <w:sz w:val="21"/>
        </w:rPr>
      </w:pPr>
      <w:r/>
    </w:p>
    <w:sectPr>
      <w:headerReference w:type="default" r:id="rId8"/>
      <w:footerReference w:type="default" r:id="rId9"/>
      <w:pgSz w:w="11910" w:h="16840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4450"/>
      <w:spacing w:line="209" w:lineRule="exact"/>
      <w:textAlignment w:val="center"/>
      <w:rPr/>
    </w:pPr>
    <w:r>
      <w:pict>
        <v:rect id="_x0000_s1" style="position:absolute;margin-left:65.9993pt;margin-top:778pt;mso-position-vertical-relative:page;mso-position-horizontal-relative:page;width:477.05pt;height:3pt;z-index:251658240;" o:allowincell="f" fillcolor="#FF0000" filled="true" stroked="false"/>
      </w:pict>
    </w:r>
    <w:r>
      <w:drawing>
        <wp:inline distT="0" distB="0" distL="0" distR="0">
          <wp:extent cx="273018" cy="133346"/>
          <wp:effectExtent l="0" t="0" r="0" b="0"/>
          <wp:docPr id="1" name="IM 1"/>
          <wp:cNvGraphicFramePr/>
          <a:graphic>
            <a:graphicData uri="http://schemas.openxmlformats.org/drawingml/2006/picture">
              <pic:pic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273018" cy="133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3"/>
      <w:spacing w:line="183" w:lineRule="auto"/>
      <w:rPr>
        <w:rFonts w:ascii="SimSun" w:hAnsi="SimSun" w:eastAsia="SimSun" w:cs="SimSun"/>
        <w:sz w:val="14"/>
        <w:szCs w:val="14"/>
      </w:rPr>
    </w:pPr>
    <w:r>
      <w:rPr>
        <w:rFonts w:ascii="SimSun" w:hAnsi="SimSun" w:eastAsia="SimSun" w:cs="SimSun"/>
        <w:sz w:val="14"/>
        <w:szCs w:val="14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80"/>
      <w:spacing w:line="183" w:lineRule="auto"/>
      <w:rPr>
        <w:rFonts w:ascii="SimSun" w:hAnsi="SimSun" w:eastAsia="SimSun" w:cs="SimSun"/>
        <w:sz w:val="14"/>
        <w:szCs w:val="14"/>
      </w:rPr>
    </w:pPr>
    <w:r>
      <w:rPr>
        <w:rFonts w:ascii="SimSun" w:hAnsi="SimSun" w:eastAsia="SimSun" w:cs="SimSun"/>
        <w:sz w:val="14"/>
        <w:szCs w:val="14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30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74"/>
      <w:spacing w:line="181" w:lineRule="auto"/>
      <w:rPr>
        <w:rFonts w:ascii="SimSun" w:hAnsi="SimSun" w:eastAsia="SimSun" w:cs="SimSun"/>
        <w:sz w:val="14"/>
        <w:szCs w:val="14"/>
      </w:rPr>
    </w:pPr>
    <w:r>
      <w:rPr>
        <w:rFonts w:ascii="SimSun" w:hAnsi="SimSun" w:eastAsia="SimSun" w:cs="SimSun"/>
        <w:sz w:val="14"/>
        <w:szCs w:val="14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header" Target="header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image" Target="media/image3.png"/><Relationship Id="rId3" Type="http://schemas.openxmlformats.org/officeDocument/2006/relationships/footer" Target="footer2.xml"/><Relationship Id="rId2" Type="http://schemas.openxmlformats.org/officeDocument/2006/relationships/image" Target="media/image2.png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2023-03-03T15:57:23Z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2023-03-03T15:57:23</vt:filetime>
  </property>
  <property fmtid="{D5CDD505-2E9C-101B-9397-08002B2CF9AE}" pid="4" name="UsrData">
    <vt:lpwstr>6401a85712a1150015a2a35d</vt:lpwstr>
  </property>
</Properties>
</file>