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2" w:name="_GoBack"/>
      <w:bookmarkEnd w:id="2"/>
      <w:r>
        <w:rPr>
          <w:rFonts w:hint="eastAsia" w:asciiTheme="majorEastAsia" w:hAnsiTheme="majorEastAsia" w:eastAsiaTheme="majorEastAsia"/>
          <w:b/>
          <w:sz w:val="32"/>
          <w:szCs w:val="32"/>
        </w:rPr>
        <w:t>赛科斯</w:t>
      </w:r>
      <w:r>
        <w:rPr>
          <w:rFonts w:asciiTheme="majorEastAsia" w:hAnsiTheme="majorEastAsia" w:eastAsiaTheme="majorEastAsia"/>
          <w:b/>
          <w:sz w:val="32"/>
          <w:szCs w:val="32"/>
        </w:rPr>
        <w:t>——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跨国呼叫中心外包服务商</w:t>
      </w:r>
    </w:p>
    <w:p>
      <w:pPr>
        <w:pStyle w:val="15"/>
        <w:rPr>
          <w:rFonts w:asciiTheme="minorEastAsia" w:hAnsiTheme="minorEastAsia" w:eastAsiaTheme="minorEastAsia"/>
          <w:sz w:val="21"/>
          <w:szCs w:val="21"/>
        </w:rPr>
      </w:pPr>
      <w:r>
        <w:rPr>
          <w:rFonts w:hAnsi="微软雅黑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</w:rPr>
        <w:t>赛科斯集团介绍</w:t>
      </w:r>
      <w:r>
        <w:rPr>
          <w:rFonts w:asciiTheme="minorEastAsia" w:hAnsiTheme="minorEastAsia" w:eastAsiaTheme="minorEastAsia"/>
          <w:b/>
          <w:bCs/>
          <w:sz w:val="21"/>
          <w:szCs w:val="21"/>
        </w:rPr>
        <w:t xml:space="preserve"> </w:t>
      </w:r>
    </w:p>
    <w:p>
      <w:pPr>
        <w:pStyle w:val="15"/>
        <w:spacing w:line="38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赛科斯企业集团</w:t>
      </w:r>
      <w:r>
        <w:rPr>
          <w:rFonts w:asciiTheme="minorEastAsia" w:hAnsiTheme="minorEastAsia" w:eastAsiaTheme="minorEastAsia"/>
          <w:sz w:val="21"/>
          <w:szCs w:val="21"/>
        </w:rPr>
        <w:t>(Sykes Enterprises, Incorporated)</w:t>
      </w:r>
      <w:r>
        <w:rPr>
          <w:rFonts w:hint="eastAsia" w:asciiTheme="minorEastAsia" w:hAnsiTheme="minorEastAsia" w:eastAsiaTheme="minorEastAsia"/>
          <w:sz w:val="21"/>
          <w:szCs w:val="21"/>
        </w:rPr>
        <w:t>，创始于</w:t>
      </w:r>
      <w:r>
        <w:rPr>
          <w:rFonts w:asciiTheme="minorEastAsia" w:hAnsiTheme="minorEastAsia" w:eastAsiaTheme="minorEastAsia"/>
          <w:sz w:val="21"/>
          <w:szCs w:val="21"/>
        </w:rPr>
        <w:t>1977</w:t>
      </w:r>
      <w:r>
        <w:rPr>
          <w:rFonts w:hint="eastAsia" w:asciiTheme="minorEastAsia" w:hAnsiTheme="minorEastAsia" w:eastAsiaTheme="minorEastAsia"/>
          <w:sz w:val="21"/>
          <w:szCs w:val="21"/>
        </w:rPr>
        <w:t>年，总部位于美国佛罗里达州的坦帕市，是纳斯达克上市公司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股票代码：</w:t>
      </w:r>
      <w:r>
        <w:rPr>
          <w:rFonts w:asciiTheme="minorEastAsia" w:hAnsiTheme="minorEastAsia" w:eastAsiaTheme="minorEastAsia"/>
          <w:sz w:val="21"/>
          <w:szCs w:val="21"/>
        </w:rPr>
        <w:t>SYKE)</w:t>
      </w:r>
      <w:r>
        <w:rPr>
          <w:rFonts w:hint="eastAsia" w:asciiTheme="minorEastAsia" w:hAnsiTheme="minorEastAsia" w:eastAsiaTheme="minorEastAsia"/>
          <w:sz w:val="21"/>
          <w:szCs w:val="21"/>
        </w:rPr>
        <w:t>。截至</w:t>
      </w:r>
      <w:r>
        <w:rPr>
          <w:rFonts w:asciiTheme="minorEastAsia" w:hAnsiTheme="minorEastAsia" w:eastAsiaTheme="minorEastAsia"/>
          <w:sz w:val="21"/>
          <w:szCs w:val="21"/>
        </w:rPr>
        <w:t>2011</w:t>
      </w:r>
      <w:r>
        <w:rPr>
          <w:rFonts w:hint="eastAsia" w:asciiTheme="minorEastAsia" w:hAnsiTheme="minorEastAsia" w:eastAsiaTheme="minorEastAsia"/>
          <w:sz w:val="21"/>
          <w:szCs w:val="21"/>
        </w:rPr>
        <w:t>年，赛科斯在全球</w:t>
      </w:r>
      <w:r>
        <w:rPr>
          <w:rFonts w:asciiTheme="minorEastAsia" w:hAnsiTheme="minorEastAsia" w:eastAsiaTheme="minorEastAsia"/>
          <w:sz w:val="21"/>
          <w:szCs w:val="21"/>
        </w:rPr>
        <w:t>20</w:t>
      </w:r>
      <w:r>
        <w:rPr>
          <w:rFonts w:hint="eastAsia" w:asciiTheme="minorEastAsia" w:hAnsiTheme="minorEastAsia" w:eastAsiaTheme="minorEastAsia"/>
          <w:sz w:val="21"/>
          <w:szCs w:val="21"/>
        </w:rPr>
        <w:t>多个国家和地区设立了</w:t>
      </w:r>
      <w:r>
        <w:rPr>
          <w:rFonts w:asciiTheme="minorEastAsia" w:hAnsiTheme="minorEastAsia" w:eastAsiaTheme="minorEastAsia"/>
          <w:sz w:val="21"/>
          <w:szCs w:val="21"/>
        </w:rPr>
        <w:t>70</w:t>
      </w:r>
      <w:r>
        <w:rPr>
          <w:rFonts w:hint="eastAsia" w:asciiTheme="minorEastAsia" w:hAnsiTheme="minorEastAsia" w:eastAsiaTheme="minorEastAsia"/>
          <w:sz w:val="21"/>
          <w:szCs w:val="21"/>
        </w:rPr>
        <w:t>余家联络中心，共拥有</w:t>
      </w:r>
      <w:r>
        <w:rPr>
          <w:rFonts w:asciiTheme="minorEastAsia" w:hAnsiTheme="minorEastAsia" w:eastAsiaTheme="minorEastAsia"/>
          <w:sz w:val="21"/>
          <w:szCs w:val="21"/>
        </w:rPr>
        <w:t>40,000</w:t>
      </w:r>
      <w:r>
        <w:rPr>
          <w:rFonts w:hint="eastAsia" w:asciiTheme="minorEastAsia" w:hAnsiTheme="minorEastAsia" w:eastAsiaTheme="minorEastAsia"/>
          <w:sz w:val="21"/>
          <w:szCs w:val="21"/>
        </w:rPr>
        <w:t>多名员工。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spacing w:line="380" w:lineRule="exact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作为全球领先的提供客户关系管理</w:t>
      </w:r>
      <w:r>
        <w:rPr>
          <w:rFonts w:asciiTheme="minorEastAsia" w:hAnsiTheme="minorEastAsia"/>
          <w:szCs w:val="21"/>
        </w:rPr>
        <w:t>(CRM)</w:t>
      </w:r>
      <w:r>
        <w:rPr>
          <w:rFonts w:hint="eastAsia" w:asciiTheme="minorEastAsia" w:hAnsiTheme="minorEastAsia"/>
          <w:szCs w:val="21"/>
        </w:rPr>
        <w:t>解决方案和客户联络服务的外包商，赛科斯致力于以专业的高品质服务为世界财富</w:t>
      </w:r>
      <w:r>
        <w:rPr>
          <w:rFonts w:asciiTheme="minorEastAsia" w:hAnsiTheme="minorEastAsia"/>
          <w:szCs w:val="21"/>
        </w:rPr>
        <w:t>1000</w:t>
      </w:r>
      <w:r>
        <w:rPr>
          <w:rFonts w:hint="eastAsia" w:asciiTheme="minorEastAsia" w:hAnsiTheme="minorEastAsia"/>
          <w:szCs w:val="21"/>
        </w:rPr>
        <w:t>强中的众多知名企业提供一整套的客户关系管理解决方案。通过整合的通讯渠道，如电话、电邮、在线通讯、传真等，赛科斯为客户提供本地和离岸的</w:t>
      </w:r>
      <w:r>
        <w:rPr>
          <w:rFonts w:asciiTheme="minorEastAsia" w:hAnsiTheme="minorEastAsia"/>
          <w:szCs w:val="21"/>
        </w:rPr>
        <w:t>30</w:t>
      </w:r>
      <w:r>
        <w:rPr>
          <w:rFonts w:hint="eastAsia" w:asciiTheme="minorEastAsia" w:hAnsiTheme="minorEastAsia"/>
          <w:szCs w:val="21"/>
        </w:rPr>
        <w:t>多种语言外包服务。服务领域涉及通信技术、高科技、个人消费品、金融服务、医疗及娱乐休闲等行业，支持区域遍及了世界五大洲的主要国家。</w:t>
      </w:r>
    </w:p>
    <w:p>
      <w:pPr>
        <w:spacing w:line="380" w:lineRule="exact"/>
        <w:ind w:firstLine="420"/>
        <w:rPr>
          <w:rFonts w:asciiTheme="minorEastAsia" w:hAnsiTheme="minorEastAsia"/>
          <w:szCs w:val="21"/>
        </w:rPr>
      </w:pPr>
    </w:p>
    <w:p>
      <w:pPr>
        <w:pStyle w:val="15"/>
        <w:rPr>
          <w:rFonts w:asciiTheme="minorEastAsia" w:hAnsiTheme="minorEastAsia" w:eastAsiaTheme="minorEastAsia"/>
          <w:sz w:val="21"/>
          <w:szCs w:val="21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b/>
          <w:bCs/>
          <w:sz w:val="21"/>
          <w:szCs w:val="21"/>
        </w:rPr>
        <w:t>赛科斯中国介绍</w:t>
      </w:r>
      <w:r>
        <w:rPr>
          <w:rFonts w:asciiTheme="minorEastAsia" w:hAnsiTheme="minorEastAsia" w:eastAsiaTheme="minorEastAsia"/>
          <w:b/>
          <w:bCs/>
          <w:sz w:val="21"/>
          <w:szCs w:val="21"/>
        </w:rPr>
        <w:t xml:space="preserve"> </w:t>
      </w:r>
    </w:p>
    <w:p>
      <w:pPr>
        <w:spacing w:line="38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赛科斯于</w:t>
      </w:r>
      <w:r>
        <w:rPr>
          <w:rFonts w:asciiTheme="minorEastAsia" w:hAnsiTheme="minorEastAsia"/>
          <w:szCs w:val="21"/>
        </w:rPr>
        <w:t>1999</w:t>
      </w:r>
      <w:r>
        <w:rPr>
          <w:rFonts w:hint="eastAsia" w:asciiTheme="minorEastAsia" w:hAnsiTheme="minorEastAsia"/>
          <w:szCs w:val="21"/>
        </w:rPr>
        <w:t>年进入中国，</w:t>
      </w:r>
      <w:r>
        <w:rPr>
          <w:rFonts w:asciiTheme="minorEastAsia" w:hAnsiTheme="minorEastAsia"/>
          <w:szCs w:val="21"/>
        </w:rPr>
        <w:t>2000</w:t>
      </w:r>
      <w:r>
        <w:rPr>
          <w:rFonts w:hint="eastAsia" w:asciiTheme="minorEastAsia" w:hAnsiTheme="minorEastAsia"/>
          <w:szCs w:val="21"/>
        </w:rPr>
        <w:t>年在上海正式成立中国区总部，</w:t>
      </w:r>
      <w:r>
        <w:rPr>
          <w:rFonts w:asciiTheme="minorEastAsia" w:hAnsiTheme="minorEastAsia"/>
          <w:szCs w:val="21"/>
        </w:rPr>
        <w:t>2006</w:t>
      </w:r>
      <w:r>
        <w:rPr>
          <w:rFonts w:hint="eastAsia" w:asciiTheme="minorEastAsia" w:hAnsiTheme="minorEastAsia"/>
          <w:szCs w:val="21"/>
        </w:rPr>
        <w:t>年由于业务扩展在广州成立分站点，</w:t>
      </w:r>
      <w:r>
        <w:rPr>
          <w:rFonts w:asciiTheme="minorEastAsia" w:hAnsiTheme="minorEastAsia"/>
          <w:szCs w:val="21"/>
        </w:rPr>
        <w:t>2012</w:t>
      </w:r>
      <w:r>
        <w:rPr>
          <w:rFonts w:hint="eastAsia" w:asciiTheme="minorEastAsia" w:hAnsiTheme="minorEastAsia"/>
          <w:szCs w:val="21"/>
        </w:rPr>
        <w:t>年在常熟成立客户联络中心。至今，赛科斯中国在上海（上海品天）、广州（广州品铎）、常熟（苏州品卓）三地拥有近</w:t>
      </w:r>
      <w:r>
        <w:rPr>
          <w:rFonts w:asciiTheme="minorEastAsia" w:hAnsiTheme="minorEastAsia"/>
          <w:szCs w:val="21"/>
        </w:rPr>
        <w:t>2000</w:t>
      </w:r>
      <w:r>
        <w:rPr>
          <w:rFonts w:hint="eastAsia" w:asciiTheme="minorEastAsia" w:hAnsiTheme="minorEastAsia"/>
          <w:szCs w:val="21"/>
        </w:rPr>
        <w:t>名员工，可提供</w:t>
      </w:r>
      <w:r>
        <w:rPr>
          <w:rFonts w:asciiTheme="minorEastAsia" w:hAnsiTheme="minorEastAsia"/>
          <w:szCs w:val="21"/>
        </w:rPr>
        <w:t>10</w:t>
      </w:r>
      <w:r>
        <w:rPr>
          <w:rFonts w:hint="eastAsia" w:asciiTheme="minorEastAsia" w:hAnsiTheme="minorEastAsia"/>
          <w:szCs w:val="21"/>
        </w:rPr>
        <w:t>余种亚太区语言的客户关系管理支持，成功实施了</w:t>
      </w:r>
      <w:r>
        <w:rPr>
          <w:rFonts w:asciiTheme="minorEastAsia" w:hAnsiTheme="minorEastAsia"/>
          <w:szCs w:val="21"/>
        </w:rPr>
        <w:t>40</w:t>
      </w:r>
      <w:r>
        <w:rPr>
          <w:rFonts w:hint="eastAsia" w:asciiTheme="minorEastAsia" w:hAnsiTheme="minorEastAsia"/>
          <w:szCs w:val="21"/>
        </w:rPr>
        <w:t>多个国际知名品牌项目。赛科斯中国以整合亚太区多语种外包客户联络中心为发展目标，为跨国企业在大中华地区、日本、韩国、澳大利亚、新西兰及东南亚等地区拓展其产品和服务，并且可以依托亚太区总部在菲律宾的资源支持，将客户的服务项目转移到成本更低的国家，为跨国企业提供灵活的、低成本的客户关系管理解决方案。赛科斯提供的客户服务解决方案，旨在帮助客户建立、维护、巩固并发展客户关系，促使客户可以保持商务事业的可持续发展。</w:t>
      </w:r>
    </w:p>
    <w:bookmarkEnd w:id="0"/>
    <w:bookmarkEnd w:id="1"/>
    <w:p>
      <w:pPr>
        <w:spacing w:line="320" w:lineRule="exact"/>
        <w:rPr>
          <w:rStyle w:val="10"/>
          <w:rFonts w:asciiTheme="minorEastAsia" w:hAnsiTheme="minorEastAsia"/>
          <w:szCs w:val="21"/>
          <w:u w:val="none"/>
        </w:rPr>
      </w:pPr>
      <w:r>
        <w:rPr>
          <w:rFonts w:hint="eastAsia" w:asciiTheme="minorEastAsia" w:hAnsiTheme="minorEastAsia"/>
          <w:b/>
          <w:szCs w:val="21"/>
        </w:rPr>
        <w:t>公司网址：</w:t>
      </w:r>
      <w:r>
        <w:fldChar w:fldCharType="begin"/>
      </w:r>
      <w:r>
        <w:instrText xml:space="preserve"> HYPERLINK "http://legacy.sykes.com/careers/china.aspx" </w:instrText>
      </w:r>
      <w:r>
        <w:fldChar w:fldCharType="separate"/>
      </w:r>
      <w:r>
        <w:rPr>
          <w:rStyle w:val="10"/>
          <w:rFonts w:asciiTheme="minorEastAsia" w:hAnsiTheme="minorEastAsia"/>
          <w:szCs w:val="21"/>
        </w:rPr>
        <w:t>http://legacy.sykes.com/careers/china.aspx</w:t>
      </w:r>
      <w:r>
        <w:rPr>
          <w:rStyle w:val="10"/>
          <w:rFonts w:asciiTheme="minorEastAsia" w:hAnsiTheme="minorEastAsia"/>
          <w:szCs w:val="21"/>
        </w:rPr>
        <w:fldChar w:fldCharType="end"/>
      </w:r>
    </w:p>
    <w:p>
      <w:pPr>
        <w:spacing w:line="400" w:lineRule="exact"/>
        <w:rPr>
          <w:rFonts w:asciiTheme="minorEastAsia" w:hAnsiTheme="minorEastAsia"/>
          <w:b/>
          <w:szCs w:val="21"/>
        </w:rPr>
      </w:pPr>
    </w:p>
    <w:p>
      <w:pPr>
        <w:spacing w:line="400" w:lineRule="exact"/>
        <w:rPr>
          <w:rFonts w:asciiTheme="minorEastAsia" w:hAnsiTheme="minorEastAsia"/>
          <w:b/>
          <w:szCs w:val="21"/>
        </w:rPr>
      </w:pPr>
    </w:p>
    <w:p>
      <w:pPr>
        <w:spacing w:line="400" w:lineRule="exact"/>
        <w:rPr>
          <w:rFonts w:asciiTheme="minorEastAsia" w:hAnsiTheme="minorEastAsia"/>
          <w:b/>
          <w:color w:val="943734" w:themeColor="accent2" w:themeShade="BF"/>
          <w:szCs w:val="21"/>
        </w:rPr>
      </w:pPr>
      <w:r>
        <w:rPr>
          <w:rFonts w:hint="eastAsia" w:asciiTheme="minorEastAsia" w:hAnsiTheme="minorEastAsia"/>
          <w:b/>
          <w:szCs w:val="21"/>
        </w:rPr>
        <w:t>招聘岗位：</w:t>
      </w:r>
      <w:r>
        <w:rPr>
          <w:rFonts w:hint="eastAsia" w:asciiTheme="minorEastAsia" w:hAnsiTheme="minorEastAsia"/>
          <w:b/>
          <w:color w:val="C00000"/>
          <w:szCs w:val="21"/>
        </w:rPr>
        <w:t>知名品牌电脑/打印机售后技术支持</w:t>
      </w:r>
    </w:p>
    <w:p>
      <w:pPr>
        <w:spacing w:line="400" w:lineRule="exact"/>
        <w:rPr>
          <w:rFonts w:cs="宋体" w:asciiTheme="minorEastAsia" w:hAnsiTheme="minorEastAsia"/>
          <w:b/>
          <w:kern w:val="0"/>
          <w:szCs w:val="21"/>
        </w:rPr>
      </w:pP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岗位职责：</w:t>
      </w:r>
    </w:p>
    <w:p>
      <w:pPr>
        <w:spacing w:line="40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-接听用户来电，为最终客户提供专业全面的技术支持与客户服务</w:t>
      </w:r>
      <w:r>
        <w:rPr>
          <w:rFonts w:hint="eastAsia" w:cs="宋体" w:asciiTheme="minorEastAsia" w:hAnsiTheme="minorEastAsia"/>
          <w:kern w:val="0"/>
          <w:szCs w:val="21"/>
        </w:rPr>
        <w:br w:type="textWrapping"/>
      </w:r>
      <w:r>
        <w:rPr>
          <w:rFonts w:hint="eastAsia" w:cs="宋体" w:asciiTheme="minorEastAsia" w:hAnsiTheme="minorEastAsia"/>
          <w:kern w:val="0"/>
          <w:szCs w:val="21"/>
        </w:rPr>
        <w:t>-通过电话和网络解决客户软件/硬件的技术问题及售前售后咨询服务，并做好详细记录</w:t>
      </w:r>
    </w:p>
    <w:p>
      <w:pPr>
        <w:spacing w:line="400" w:lineRule="exact"/>
        <w:rPr>
          <w:rFonts w:cs="宋体" w:asciiTheme="minorEastAsia" w:hAnsiTheme="minorEastAsia"/>
          <w:kern w:val="0"/>
          <w:szCs w:val="21"/>
        </w:rPr>
      </w:pP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招募要求：</w:t>
      </w:r>
    </w:p>
    <w:p>
      <w:pPr>
        <w:spacing w:line="40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-大专及以上学历，计算机专业优先考虑；</w:t>
      </w:r>
    </w:p>
    <w:p>
      <w:pPr>
        <w:spacing w:line="40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-有一定的计算机基础；</w:t>
      </w:r>
      <w:r>
        <w:rPr>
          <w:rFonts w:hint="eastAsia" w:cs="宋体" w:asciiTheme="minorEastAsia" w:hAnsiTheme="minorEastAsia"/>
          <w:kern w:val="0"/>
          <w:szCs w:val="21"/>
        </w:rPr>
        <w:br w:type="textWrapping"/>
      </w:r>
      <w:r>
        <w:rPr>
          <w:rFonts w:hint="eastAsia" w:cs="宋体" w:asciiTheme="minorEastAsia" w:hAnsiTheme="minorEastAsia"/>
          <w:kern w:val="0"/>
          <w:szCs w:val="21"/>
        </w:rPr>
        <w:t>-同步录入打字速度40字/分钟以上；</w:t>
      </w:r>
      <w:r>
        <w:rPr>
          <w:rFonts w:hint="eastAsia" w:cs="宋体" w:asciiTheme="minorEastAsia" w:hAnsiTheme="minorEastAsia"/>
          <w:kern w:val="0"/>
          <w:szCs w:val="21"/>
        </w:rPr>
        <w:br w:type="textWrapping"/>
      </w:r>
      <w:r>
        <w:rPr>
          <w:rFonts w:hint="eastAsia" w:cs="宋体" w:asciiTheme="minorEastAsia" w:hAnsiTheme="minorEastAsia"/>
          <w:kern w:val="0"/>
          <w:szCs w:val="21"/>
        </w:rPr>
        <w:t>-普通话标准 ，无明显口音，口齿清晰；</w:t>
      </w:r>
    </w:p>
    <w:p>
      <w:pPr>
        <w:spacing w:line="40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-有一定的沟通表达能力；</w:t>
      </w:r>
    </w:p>
    <w:p>
      <w:pPr>
        <w:spacing w:line="400" w:lineRule="exact"/>
        <w:rPr>
          <w:rFonts w:cs="宋体" w:asciiTheme="minorEastAsia" w:hAnsiTheme="minorEastAsia"/>
          <w:kern w:val="0"/>
          <w:szCs w:val="21"/>
        </w:rPr>
      </w:pP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cs="宋体" w:asciiTheme="minorEastAsia" w:hAnsiTheme="minorEastAsia"/>
          <w:b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薪酬标准：</w:t>
      </w:r>
    </w:p>
    <w:p>
      <w:pPr>
        <w:spacing w:line="400" w:lineRule="exac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FF0000"/>
          <w:kern w:val="0"/>
          <w:szCs w:val="21"/>
        </w:rPr>
        <w:t>[实习期]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：前6个月综合工资：底薪前6个月2500+100水电补贴+0-500绩效奖金，</w:t>
      </w:r>
    </w:p>
    <w:p>
      <w:pPr>
        <w:spacing w:line="400" w:lineRule="exact"/>
        <w:ind w:firstLine="1050" w:firstLineChars="5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后6个月会根据前6个月的绩效指标考核，达标者会调薪：2950底薪+100水电补贴+0-500绩效奖金</w:t>
      </w:r>
    </w:p>
    <w:p>
      <w:pPr>
        <w:spacing w:line="400" w:lineRule="exact"/>
        <w:ind w:firstLine="840" w:firstLineChars="4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入职满3个月：第四个月会发放1000元成长基金</w:t>
      </w:r>
    </w:p>
    <w:p>
      <w:pPr>
        <w:spacing w:line="400" w:lineRule="exact"/>
        <w:ind w:firstLine="840" w:firstLineChars="4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入职满6个月：第七个月会发放2000元成长基金</w:t>
      </w:r>
    </w:p>
    <w:p>
      <w:pPr>
        <w:spacing w:line="400" w:lineRule="exact"/>
        <w:ind w:firstLine="840" w:firstLineChars="4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实习期间综合薪资：3500-4000+</w:t>
      </w:r>
      <w:r>
        <w:rPr>
          <w:rFonts w:cs="宋体" w:asciiTheme="minorEastAsia" w:hAnsiTheme="minorEastAsia"/>
          <w:color w:val="000000"/>
          <w:kern w:val="0"/>
          <w:szCs w:val="21"/>
        </w:rPr>
        <w:t xml:space="preserve"> </w:t>
      </w:r>
    </w:p>
    <w:p>
      <w:pPr>
        <w:spacing w:line="400" w:lineRule="exact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color w:val="FF0000"/>
          <w:kern w:val="0"/>
          <w:szCs w:val="21"/>
        </w:rPr>
        <w:t>[转正后]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：拿到毕业证后，签订劳动合同，</w:t>
      </w:r>
      <w:r>
        <w:rPr>
          <w:rFonts w:hint="eastAsia" w:cs="宋体" w:asciiTheme="minorEastAsia" w:hAnsiTheme="minorEastAsia"/>
          <w:kern w:val="0"/>
          <w:szCs w:val="21"/>
        </w:rPr>
        <w:t>综合收入3500~5000+</w:t>
      </w: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cs="宋体" w:asciiTheme="minorEastAsia" w:hAnsiTheme="minorEastAsia"/>
          <w:b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 xml:space="preserve">福利政策 </w:t>
      </w:r>
    </w:p>
    <w:p>
      <w:pPr>
        <w:spacing w:line="400" w:lineRule="exac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FF0000"/>
          <w:kern w:val="0"/>
          <w:szCs w:val="21"/>
        </w:rPr>
        <w:t>[带薪技术培训]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：入职后享受2~4周专业的带薪培训</w:t>
      </w:r>
    </w:p>
    <w:p>
      <w:pPr>
        <w:spacing w:line="400" w:lineRule="exac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FF0000"/>
          <w:kern w:val="0"/>
          <w:szCs w:val="21"/>
        </w:rPr>
        <w:t>[免费住宿]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：水电网络费自理。</w:t>
      </w:r>
    </w:p>
    <w:p>
      <w:pPr>
        <w:spacing w:line="400" w:lineRule="exact"/>
        <w:ind w:firstLine="1260" w:firstLineChars="6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宿舍标准：四人间，有空调，有阳台。</w:t>
      </w:r>
    </w:p>
    <w:p>
      <w:pPr>
        <w:spacing w:line="400" w:lineRule="exac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FF0000"/>
          <w:kern w:val="0"/>
          <w:szCs w:val="21"/>
        </w:rPr>
        <w:t>[其他福利]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：节日福利、生日礼物、各种员工活动</w:t>
      </w: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发展通道</w:t>
      </w:r>
    </w:p>
    <w:p>
      <w:pPr>
        <w:pStyle w:val="14"/>
        <w:spacing w:line="400" w:lineRule="exact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技术类：技术支持——技术精英/质检/数据分析——培训师——主管——经理——总监</w:t>
      </w:r>
    </w:p>
    <w:p>
      <w:pPr>
        <w:pStyle w:val="14"/>
        <w:spacing w:line="400" w:lineRule="exact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管理类：技术支持——督导——组长——主管——经理——总监</w:t>
      </w: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工作时间：</w:t>
      </w:r>
      <w:r>
        <w:rPr>
          <w:rFonts w:hint="eastAsia" w:asciiTheme="minorEastAsia" w:hAnsiTheme="minorEastAsia"/>
          <w:szCs w:val="21"/>
        </w:rPr>
        <w:t xml:space="preserve"> 常白班，做五休二（早8：30-17：30    早9:00-18：00</w:t>
      </w: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工作地点：</w:t>
      </w:r>
      <w:r>
        <w:rPr>
          <w:rFonts w:hint="eastAsia" w:asciiTheme="minorEastAsia" w:hAnsiTheme="minorEastAsia"/>
          <w:szCs w:val="21"/>
        </w:rPr>
        <w:t>常熟市东南经济开发区黄浦江路199号紫晶城Ⅴ4栋</w:t>
      </w: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联系电话：</w:t>
      </w:r>
      <w:r>
        <w:rPr>
          <w:rFonts w:hint="eastAsia" w:asciiTheme="minorEastAsia" w:hAnsiTheme="minorEastAsia"/>
          <w:szCs w:val="21"/>
        </w:rPr>
        <w:t>0512-52686084</w:t>
      </w:r>
    </w:p>
    <w:p>
      <w:pPr>
        <w:pStyle w:val="1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  <w:r>
      <w:rPr>
        <w:rFonts w:hint="eastAsia" w:ascii="黑体" w:hAnsi="黑体" w:eastAsia="黑体"/>
        <w:b/>
        <w:color w:val="632423" w:themeColor="accent2" w:themeShade="80"/>
        <w:spacing w:val="8"/>
        <w:sz w:val="44"/>
        <w:szCs w:val="44"/>
      </w:rPr>
      <w:t>苏州品卓信息技术服务有限公司</w:t>
    </w:r>
    <w:r>
      <w:ptab w:relativeTo="margin" w:alignment="right" w:leader="none"/>
    </w:r>
    <w:r>
      <w:drawing>
        <wp:inline distT="0" distB="0" distL="0" distR="0">
          <wp:extent cx="904875" cy="394335"/>
          <wp:effectExtent l="0" t="0" r="0" b="0"/>
          <wp:docPr id="1" name="图片 1" descr="32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23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0" cy="39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35C"/>
    <w:multiLevelType w:val="multilevel"/>
    <w:tmpl w:val="0082335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A8"/>
    <w:rsid w:val="00001E84"/>
    <w:rsid w:val="00010E27"/>
    <w:rsid w:val="00011923"/>
    <w:rsid w:val="000160A7"/>
    <w:rsid w:val="00033B04"/>
    <w:rsid w:val="00042CFD"/>
    <w:rsid w:val="00053B37"/>
    <w:rsid w:val="0005499B"/>
    <w:rsid w:val="000617A7"/>
    <w:rsid w:val="00063D22"/>
    <w:rsid w:val="00075644"/>
    <w:rsid w:val="000837E1"/>
    <w:rsid w:val="0009187C"/>
    <w:rsid w:val="00093278"/>
    <w:rsid w:val="00093C6B"/>
    <w:rsid w:val="00094B58"/>
    <w:rsid w:val="00095D74"/>
    <w:rsid w:val="000A4270"/>
    <w:rsid w:val="000A7FC5"/>
    <w:rsid w:val="000C26A2"/>
    <w:rsid w:val="000D58F5"/>
    <w:rsid w:val="000F28D8"/>
    <w:rsid w:val="000F6401"/>
    <w:rsid w:val="00131AA4"/>
    <w:rsid w:val="00136386"/>
    <w:rsid w:val="00141D79"/>
    <w:rsid w:val="00164D37"/>
    <w:rsid w:val="00167DBE"/>
    <w:rsid w:val="00174383"/>
    <w:rsid w:val="00182CE8"/>
    <w:rsid w:val="001B285A"/>
    <w:rsid w:val="001B3755"/>
    <w:rsid w:val="001D6BEC"/>
    <w:rsid w:val="001E2167"/>
    <w:rsid w:val="001E4626"/>
    <w:rsid w:val="001F78B3"/>
    <w:rsid w:val="00203A61"/>
    <w:rsid w:val="002119EF"/>
    <w:rsid w:val="002257FC"/>
    <w:rsid w:val="00260B5C"/>
    <w:rsid w:val="00274590"/>
    <w:rsid w:val="002A21D1"/>
    <w:rsid w:val="002B12B8"/>
    <w:rsid w:val="002C1CFA"/>
    <w:rsid w:val="002C5717"/>
    <w:rsid w:val="00307CCD"/>
    <w:rsid w:val="003208B5"/>
    <w:rsid w:val="00334617"/>
    <w:rsid w:val="00372C92"/>
    <w:rsid w:val="003A4D08"/>
    <w:rsid w:val="003B231F"/>
    <w:rsid w:val="003B3855"/>
    <w:rsid w:val="003E5289"/>
    <w:rsid w:val="00404D62"/>
    <w:rsid w:val="00413A2D"/>
    <w:rsid w:val="00422169"/>
    <w:rsid w:val="004247DE"/>
    <w:rsid w:val="00427CB7"/>
    <w:rsid w:val="00432EA5"/>
    <w:rsid w:val="0044404D"/>
    <w:rsid w:val="00466047"/>
    <w:rsid w:val="004A087A"/>
    <w:rsid w:val="004B64D1"/>
    <w:rsid w:val="004C06FC"/>
    <w:rsid w:val="005169C3"/>
    <w:rsid w:val="00544DBE"/>
    <w:rsid w:val="005527FF"/>
    <w:rsid w:val="005533BA"/>
    <w:rsid w:val="00581BBA"/>
    <w:rsid w:val="005A2762"/>
    <w:rsid w:val="005A68AB"/>
    <w:rsid w:val="005D01B5"/>
    <w:rsid w:val="005D415B"/>
    <w:rsid w:val="005E0353"/>
    <w:rsid w:val="005F1D0E"/>
    <w:rsid w:val="005F2973"/>
    <w:rsid w:val="005F3E28"/>
    <w:rsid w:val="005F4180"/>
    <w:rsid w:val="006015D2"/>
    <w:rsid w:val="00614E33"/>
    <w:rsid w:val="0065149D"/>
    <w:rsid w:val="006641AD"/>
    <w:rsid w:val="006B6367"/>
    <w:rsid w:val="006C2A43"/>
    <w:rsid w:val="006C37DA"/>
    <w:rsid w:val="006D3DCE"/>
    <w:rsid w:val="006E6CC4"/>
    <w:rsid w:val="00724DB0"/>
    <w:rsid w:val="00756DBD"/>
    <w:rsid w:val="00791096"/>
    <w:rsid w:val="00791BDC"/>
    <w:rsid w:val="007A32E1"/>
    <w:rsid w:val="007A6D32"/>
    <w:rsid w:val="007B1A4A"/>
    <w:rsid w:val="007B6DD0"/>
    <w:rsid w:val="007C4A5B"/>
    <w:rsid w:val="007C66B5"/>
    <w:rsid w:val="007C6D20"/>
    <w:rsid w:val="007D673F"/>
    <w:rsid w:val="007D74D8"/>
    <w:rsid w:val="007F1EFE"/>
    <w:rsid w:val="00836013"/>
    <w:rsid w:val="008456A8"/>
    <w:rsid w:val="00870C89"/>
    <w:rsid w:val="00875232"/>
    <w:rsid w:val="00877478"/>
    <w:rsid w:val="00881509"/>
    <w:rsid w:val="008B461D"/>
    <w:rsid w:val="008B4F31"/>
    <w:rsid w:val="008C5EA0"/>
    <w:rsid w:val="008F2502"/>
    <w:rsid w:val="008F48CF"/>
    <w:rsid w:val="008F6DE3"/>
    <w:rsid w:val="00910A6A"/>
    <w:rsid w:val="00934BDB"/>
    <w:rsid w:val="0095323E"/>
    <w:rsid w:val="00955491"/>
    <w:rsid w:val="00966FD9"/>
    <w:rsid w:val="009B1059"/>
    <w:rsid w:val="009B1178"/>
    <w:rsid w:val="009B3B78"/>
    <w:rsid w:val="009B7979"/>
    <w:rsid w:val="009C5991"/>
    <w:rsid w:val="009D2056"/>
    <w:rsid w:val="009D44AC"/>
    <w:rsid w:val="009D5547"/>
    <w:rsid w:val="009E1056"/>
    <w:rsid w:val="00A05484"/>
    <w:rsid w:val="00A05C24"/>
    <w:rsid w:val="00A20E50"/>
    <w:rsid w:val="00A3479A"/>
    <w:rsid w:val="00A55401"/>
    <w:rsid w:val="00A62FF8"/>
    <w:rsid w:val="00A718BF"/>
    <w:rsid w:val="00A809C9"/>
    <w:rsid w:val="00A863C9"/>
    <w:rsid w:val="00AA1971"/>
    <w:rsid w:val="00AA43DE"/>
    <w:rsid w:val="00AD1CA4"/>
    <w:rsid w:val="00AE21CF"/>
    <w:rsid w:val="00AE6FD9"/>
    <w:rsid w:val="00AE7C65"/>
    <w:rsid w:val="00AF1B79"/>
    <w:rsid w:val="00AF3D04"/>
    <w:rsid w:val="00B22870"/>
    <w:rsid w:val="00B41629"/>
    <w:rsid w:val="00B672C7"/>
    <w:rsid w:val="00B83B75"/>
    <w:rsid w:val="00B95F12"/>
    <w:rsid w:val="00BA7A3C"/>
    <w:rsid w:val="00BB6541"/>
    <w:rsid w:val="00BC5288"/>
    <w:rsid w:val="00BE2D1C"/>
    <w:rsid w:val="00BF3D70"/>
    <w:rsid w:val="00C00CA2"/>
    <w:rsid w:val="00C04D5F"/>
    <w:rsid w:val="00C1327E"/>
    <w:rsid w:val="00C17026"/>
    <w:rsid w:val="00C5463E"/>
    <w:rsid w:val="00C577BB"/>
    <w:rsid w:val="00C624C3"/>
    <w:rsid w:val="00C65774"/>
    <w:rsid w:val="00C6589E"/>
    <w:rsid w:val="00C735DA"/>
    <w:rsid w:val="00C760BF"/>
    <w:rsid w:val="00C77F6B"/>
    <w:rsid w:val="00C80033"/>
    <w:rsid w:val="00C83A44"/>
    <w:rsid w:val="00CB69A0"/>
    <w:rsid w:val="00D04159"/>
    <w:rsid w:val="00D0437D"/>
    <w:rsid w:val="00D06DBC"/>
    <w:rsid w:val="00D11B42"/>
    <w:rsid w:val="00D142D1"/>
    <w:rsid w:val="00D32206"/>
    <w:rsid w:val="00D415A4"/>
    <w:rsid w:val="00D41AB0"/>
    <w:rsid w:val="00D43282"/>
    <w:rsid w:val="00D47739"/>
    <w:rsid w:val="00D6197C"/>
    <w:rsid w:val="00D64914"/>
    <w:rsid w:val="00D649B3"/>
    <w:rsid w:val="00D7226D"/>
    <w:rsid w:val="00D72FCF"/>
    <w:rsid w:val="00D8017A"/>
    <w:rsid w:val="00D9489C"/>
    <w:rsid w:val="00DA2DEF"/>
    <w:rsid w:val="00DA3182"/>
    <w:rsid w:val="00DB249D"/>
    <w:rsid w:val="00DC13F1"/>
    <w:rsid w:val="00DF1BA8"/>
    <w:rsid w:val="00DF2708"/>
    <w:rsid w:val="00E35C00"/>
    <w:rsid w:val="00E50D39"/>
    <w:rsid w:val="00E55A8D"/>
    <w:rsid w:val="00E774F5"/>
    <w:rsid w:val="00E84C9A"/>
    <w:rsid w:val="00E93039"/>
    <w:rsid w:val="00EA3F63"/>
    <w:rsid w:val="00EA5519"/>
    <w:rsid w:val="00EB4E23"/>
    <w:rsid w:val="00EB576F"/>
    <w:rsid w:val="00EB787F"/>
    <w:rsid w:val="00ED30FC"/>
    <w:rsid w:val="00ED71CE"/>
    <w:rsid w:val="00F00605"/>
    <w:rsid w:val="00F105FD"/>
    <w:rsid w:val="00F2310D"/>
    <w:rsid w:val="00F277D7"/>
    <w:rsid w:val="00F303EE"/>
    <w:rsid w:val="00F40A24"/>
    <w:rsid w:val="00F555F5"/>
    <w:rsid w:val="00F60EFD"/>
    <w:rsid w:val="00F64F58"/>
    <w:rsid w:val="00F80D1D"/>
    <w:rsid w:val="00F90B68"/>
    <w:rsid w:val="00FA3C40"/>
    <w:rsid w:val="00FB12DF"/>
    <w:rsid w:val="00FB42C1"/>
    <w:rsid w:val="00FB6241"/>
    <w:rsid w:val="00FC2399"/>
    <w:rsid w:val="00FD5300"/>
    <w:rsid w:val="00FF3560"/>
    <w:rsid w:val="662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3596A-CEB5-4598-BFC0-A4A8AD779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Sykes (Shanghai) Co., Ltd</Company>
  <Pages>2</Pages>
  <Words>220</Words>
  <Characters>1260</Characters>
  <Lines>10</Lines>
  <Paragraphs>2</Paragraphs>
  <TotalTime>181</TotalTime>
  <ScaleCrop>false</ScaleCrop>
  <LinksUpToDate>false</LinksUpToDate>
  <CharactersWithSpaces>1478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2016-05-11T07:57:00Z</dcterms:created>
  <dc:creator>liuco</dc:creator>
  <cp:lastModifiedBy>wps1083</cp:lastModifiedBy>
  <cp:lastPrinted>2018-12-18T07:13:00Z</cp:lastPrinted>
  <dcterms:modified xsi:type="dcterms:W3CDTF">2019-11-28T02:09:23Z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