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9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41"/>
        <w:gridCol w:w="1418"/>
        <w:gridCol w:w="3618"/>
        <w:gridCol w:w="247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tblHeader/>
        </w:trPr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br w:type="page"/>
            </w:r>
            <w:r>
              <w:rPr>
                <w:rFonts w:ascii="Arial" w:hAnsi="Arial" w:cs="Arial"/>
                <w:b/>
              </w:rPr>
              <w:t>Module Name</w:t>
            </w:r>
          </w:p>
        </w:tc>
        <w:tc>
          <w:tcPr>
            <w:tcW w:w="7655" w:type="dxa"/>
            <w:gridSpan w:val="4"/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Financial Accounting II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tblHeader/>
        </w:trPr>
        <w:tc>
          <w:tcPr>
            <w:tcW w:w="1843" w:type="dxa"/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Module Code</w:t>
            </w:r>
          </w:p>
        </w:tc>
        <w:tc>
          <w:tcPr>
            <w:tcW w:w="7655" w:type="dxa"/>
            <w:gridSpan w:val="4"/>
            <w:shd w:val="clear" w:color="auto" w:fill="auto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AFFA332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3" w:type="dxa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Level</w:t>
            </w:r>
          </w:p>
        </w:tc>
        <w:tc>
          <w:tcPr>
            <w:tcW w:w="7655" w:type="dxa"/>
            <w:gridSpan w:val="4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Diploma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3" w:type="dxa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Status</w:t>
            </w:r>
          </w:p>
        </w:tc>
        <w:tc>
          <w:tcPr>
            <w:tcW w:w="7655" w:type="dxa"/>
            <w:gridSpan w:val="4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Compulsory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3" w:type="dxa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Credit</w:t>
            </w:r>
          </w:p>
        </w:tc>
        <w:tc>
          <w:tcPr>
            <w:tcW w:w="7655" w:type="dxa"/>
            <w:gridSpan w:val="4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3" w:type="dxa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Year</w:t>
            </w:r>
          </w:p>
        </w:tc>
        <w:tc>
          <w:tcPr>
            <w:tcW w:w="7655" w:type="dxa"/>
            <w:gridSpan w:val="4"/>
            <w:vAlign w:val="center"/>
          </w:tcPr>
          <w:p>
            <w:pPr>
              <w:rPr>
                <w:rFonts w:hint="eastAsia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3" w:type="dxa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Stage</w:t>
            </w:r>
          </w:p>
        </w:tc>
        <w:tc>
          <w:tcPr>
            <w:tcW w:w="7655" w:type="dxa"/>
            <w:gridSpan w:val="4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3" w:type="dxa"/>
            <w:vAlign w:val="center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Pre-requisites</w:t>
            </w:r>
          </w:p>
        </w:tc>
        <w:tc>
          <w:tcPr>
            <w:tcW w:w="7655" w:type="dxa"/>
            <w:gridSpan w:val="4"/>
            <w:vAlign w:val="center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AFFA331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3" w:type="dxa"/>
          </w:tcPr>
          <w:p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7655" w:type="dxa"/>
            <w:gridSpan w:val="4"/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</w:rPr>
              <w:t>This module introduces students about, financial statement analysis, statements of cash flow, current and long-term liabilities,</w:t>
            </w:r>
            <w:r>
              <w:rPr>
                <w:rFonts w:ascii="Arial" w:hAnsi="Arial" w:cs="Arial"/>
                <w:color w:val="000000"/>
                <w:shd w:val="clear" w:color="auto" w:fill="F7F7F7"/>
              </w:rPr>
              <w:t xml:space="preserve"> dividends and equity structures of partnerships, proprietorships and corporations. S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tudents are exposed to the process by which financial transactions and events are recorded, and will learn how to compile and interpret basic financial statements. </w:t>
            </w:r>
            <w:r>
              <w:rPr>
                <w:rFonts w:ascii="Arial" w:hAnsi="Arial" w:cs="Arial"/>
                <w:color w:val="000000"/>
              </w:rPr>
              <w:t>At the end of the course, students should have the requisite accounting knowledge needed to prepare and for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</w:rPr>
              <w:t>ecast financial statements and how to value firms.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This course will be divided into 2 modules – Financial Accounting I and Financial Accounting II.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843" w:type="dxa"/>
            <w:tcBorders>
              <w:bottom w:val="single" w:color="auto" w:sz="4" w:space="0"/>
            </w:tcBorders>
          </w:tcPr>
          <w:p>
            <w:pPr>
              <w:rPr>
                <w:rFonts w:ascii="Arial" w:hAnsi="Arial" w:cs="Arial"/>
                <w:b/>
                <w:lang w:val="en-SG"/>
              </w:rPr>
            </w:pPr>
            <w:r>
              <w:rPr>
                <w:rFonts w:ascii="Arial" w:hAnsi="Arial" w:cs="Arial"/>
                <w:b/>
              </w:rPr>
              <w:t>Learning Outcome</w:t>
            </w:r>
          </w:p>
        </w:tc>
        <w:tc>
          <w:tcPr>
            <w:tcW w:w="7655" w:type="dxa"/>
            <w:gridSpan w:val="4"/>
            <w:tcBorders>
              <w:bottom w:val="single" w:color="auto" w:sz="4" w:space="0"/>
            </w:tcBorders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Upon completion of this module, students should be able to: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Helvetica" w:hAnsi="Helvetica"/>
                <w:color w:val="000000"/>
                <w:lang w:val="en-SG" w:eastAsia="zh-CN"/>
              </w:rPr>
            </w:pPr>
            <w:r>
              <w:rPr>
                <w:rFonts w:ascii="Helvetica" w:hAnsi="Helvetica"/>
                <w:color w:val="000000"/>
                <w:lang w:val="en-SG" w:eastAsia="zh-CN"/>
              </w:rPr>
              <w:t>Identify the appropriate reporting standards (International Financial Reporting Standards or "IFRS" as applicable to individual reporting or presentation situations and/or issues.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Helvetica" w:hAnsi="Helvetica"/>
                <w:color w:val="000000"/>
                <w:lang w:val="en-SG" w:eastAsia="zh-CN"/>
              </w:rPr>
            </w:pPr>
            <w:r>
              <w:rPr>
                <w:rFonts w:ascii="Helvetica" w:hAnsi="Helvetica"/>
                <w:color w:val="000000"/>
                <w:shd w:val="clear" w:color="auto" w:fill="FFFFFF"/>
              </w:rPr>
              <w:t>Account for current and other non-current liabilities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Helvetica" w:hAnsi="Helvetica"/>
                <w:color w:val="000000"/>
                <w:lang w:val="en-SG" w:eastAsia="zh-CN"/>
              </w:rPr>
            </w:pPr>
            <w:r>
              <w:rPr>
                <w:rFonts w:ascii="Helvetica" w:hAnsi="Helvetica"/>
                <w:color w:val="000000"/>
                <w:lang w:val="en-SG" w:eastAsia="zh-CN"/>
              </w:rPr>
              <w:t>Understand the basic principles of liability recognition and presentation and recommend appropriate treatment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Helvetica" w:hAnsi="Helvetica"/>
                <w:color w:val="000000"/>
                <w:lang w:val="en-SG" w:eastAsia="zh-CN"/>
              </w:rPr>
            </w:pPr>
            <w:r>
              <w:rPr>
                <w:rFonts w:ascii="Helvetica" w:hAnsi="Helvetica"/>
                <w:color w:val="000000"/>
                <w:shd w:val="clear" w:color="auto" w:fill="FFFFFF"/>
              </w:rPr>
              <w:t>Prepare all journal entries related to long-term liabilities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Helvetica" w:hAnsi="Helvetica"/>
                <w:color w:val="000000"/>
                <w:lang w:val="en-SG" w:eastAsia="zh-CN"/>
              </w:rPr>
            </w:pPr>
            <w:r>
              <w:rPr>
                <w:rFonts w:ascii="Helvetica" w:hAnsi="Helvetica"/>
                <w:color w:val="000000"/>
                <w:lang w:val="en-SG" w:eastAsia="zh-CN"/>
              </w:rPr>
              <w:t>Prepare a statement of cash flows using both direct and indirect methods.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Arial" w:hAnsi="Arial" w:cs="Arial"/>
                <w:color w:val="000000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lang w:val="en-SG" w:eastAsia="zh-CN"/>
              </w:rPr>
              <w:t>Account for the purchase, depreciation and disposition of long-term assets.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Arial" w:hAnsi="Arial" w:cs="Arial"/>
                <w:color w:val="000000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lang w:val="en-SG" w:eastAsia="zh-CN"/>
              </w:rPr>
              <w:t>Account for bonds issued at par, a discount, or a premium by the effective interest method, including interest payments for full and partial periods.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Arial" w:hAnsi="Arial" w:cs="Arial"/>
                <w:color w:val="000000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lang w:val="en-SG" w:eastAsia="zh-CN"/>
              </w:rPr>
              <w:t>Apply the rules associated with accounting for stockholders' equity.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Helvetica" w:hAnsi="Helvetica"/>
                <w:color w:val="777777"/>
                <w:lang w:val="en-SG" w:eastAsia="zh-CN"/>
              </w:rPr>
            </w:pPr>
            <w:r>
              <w:rPr>
                <w:rFonts w:ascii="Helvetica" w:hAnsi="Helvetica"/>
                <w:color w:val="000000"/>
                <w:shd w:val="clear" w:color="auto" w:fill="FFFFFF"/>
              </w:rPr>
              <w:t>Prepare shareholders' equity section and related journal entries.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Helvetica" w:hAnsi="Helvetica"/>
                <w:color w:val="777777"/>
                <w:lang w:val="en-SG" w:eastAsia="zh-CN"/>
              </w:rPr>
            </w:pPr>
            <w:r>
              <w:rPr>
                <w:rFonts w:ascii="Helvetica" w:hAnsi="Helvetica"/>
                <w:color w:val="000000"/>
                <w:shd w:val="clear" w:color="auto" w:fill="FFFFFF"/>
              </w:rPr>
              <w:t>Describe how profit or loss items are presented in the income statement.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Helvetica" w:hAnsi="Helvetica"/>
                <w:color w:val="777777"/>
                <w:lang w:val="en-SG" w:eastAsia="zh-CN"/>
              </w:rPr>
            </w:pPr>
            <w:r>
              <w:rPr>
                <w:rFonts w:ascii="Helvetica" w:hAnsi="Helvetica"/>
                <w:color w:val="000000"/>
                <w:shd w:val="clear" w:color="auto" w:fill="FFFFFF"/>
                <w:lang w:val="en-SG"/>
              </w:rPr>
              <w:t>Explain the purposes and uses of a statement of cash flows.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Helvetica" w:hAnsi="Helvetica"/>
                <w:color w:val="777777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lang w:val="en-SG" w:eastAsia="zh-CN"/>
              </w:rPr>
              <w:t>Understand how to prepare and interpret/analyze the basic financial statements.</w:t>
            </w:r>
          </w:p>
          <w:p>
            <w:pPr>
              <w:numPr>
                <w:ilvl w:val="0"/>
                <w:numId w:val="1"/>
              </w:numPr>
              <w:tabs>
                <w:tab w:val="left" w:pos="479"/>
                <w:tab w:val="clear" w:pos="360"/>
              </w:tabs>
              <w:suppressAutoHyphens w:val="0"/>
              <w:ind w:left="479" w:hanging="450"/>
              <w:rPr>
                <w:rFonts w:ascii="Helvetica" w:hAnsi="Helvetica"/>
                <w:color w:val="777777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lang w:val="en-SG" w:eastAsia="zh-CN"/>
              </w:rPr>
              <w:t>Define the mechanisms companies use to globalise business activities.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right="34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Lecture/</w:t>
            </w:r>
          </w:p>
          <w:p>
            <w:pPr>
              <w:snapToGrid w:val="0"/>
              <w:ind w:right="3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/>
              </w:rPr>
              <w:t>Tutorial Hours</w:t>
            </w:r>
          </w:p>
        </w:tc>
        <w:tc>
          <w:tcPr>
            <w:tcW w:w="51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ind w:left="40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Lecture Hours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 w:eastAsiaTheme="minorEastAsia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51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ind w:left="40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Tutorial Hours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 w:eastAsiaTheme="minorEastAsia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517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2"/>
              </w:numPr>
              <w:ind w:left="40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Total Hours</w:t>
            </w:r>
          </w:p>
        </w:tc>
        <w:tc>
          <w:tcPr>
            <w:tcW w:w="2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4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5177" w:type="dxa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pStyle w:val="8"/>
              <w:ind w:left="406"/>
              <w:rPr>
                <w:rFonts w:ascii="Arial" w:hAnsi="Arial" w:cs="Arial"/>
                <w:color w:val="000000"/>
              </w:rPr>
            </w:pPr>
          </w:p>
        </w:tc>
        <w:tc>
          <w:tcPr>
            <w:tcW w:w="2478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ascii="Arial" w:hAnsi="Arial" w:cs="Arial"/>
                <w:color w:val="00000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43" w:type="dxa"/>
            <w:vMerge w:val="restart"/>
            <w:tcBorders>
              <w:top w:val="nil"/>
              <w:right w:val="single" w:color="auto" w:sz="4" w:space="0"/>
            </w:tcBorders>
          </w:tcPr>
          <w:p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Assessment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517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2"/>
              </w:numPr>
              <w:snapToGrid w:val="0"/>
              <w:contextualSpacing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Self-directed learning Week: Test by CL and Learning participation</w:t>
            </w:r>
          </w:p>
        </w:tc>
        <w:tc>
          <w:tcPr>
            <w:tcW w:w="2478" w:type="dxa"/>
            <w:tcBorders>
              <w:top w:val="nil"/>
              <w:lef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color w:val="000000"/>
              </w:rPr>
            </w:pPr>
            <w:r>
              <w:rPr>
                <w:rFonts w:hint="eastAsia" w:ascii="Arial" w:hAnsi="Arial" w:cs="Arial" w:eastAsiaTheme="minorEastAsia"/>
                <w:color w:val="000000"/>
                <w:lang w:eastAsia="zh-CN"/>
              </w:rPr>
              <w:t>10</w:t>
            </w:r>
            <w:r>
              <w:rPr>
                <w:rFonts w:ascii="Arial" w:hAnsi="Arial" w:cs="Arial"/>
                <w:color w:val="000000"/>
              </w:rPr>
              <w:t>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43" w:type="dxa"/>
            <w:vMerge w:val="continue"/>
            <w:vAlign w:val="center"/>
          </w:tcPr>
          <w:p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5177" w:type="dxa"/>
            <w:gridSpan w:val="3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pStyle w:val="8"/>
              <w:numPr>
                <w:ilvl w:val="0"/>
                <w:numId w:val="2"/>
              </w:numPr>
              <w:snapToGrid w:val="0"/>
              <w:contextualSpacing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Self-Directed Learning &amp; Participation During co-teaching</w:t>
            </w:r>
          </w:p>
        </w:tc>
        <w:tc>
          <w:tcPr>
            <w:tcW w:w="2478" w:type="dxa"/>
            <w:vAlign w:val="center"/>
          </w:tcPr>
          <w:p>
            <w:pPr>
              <w:rPr>
                <w:rFonts w:ascii="Arial" w:hAnsi="Arial" w:cs="Arial" w:eastAsiaTheme="minorEastAsia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</w:rPr>
              <w:t xml:space="preserve">CL: 15%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43" w:type="dxa"/>
            <w:vMerge w:val="continue"/>
            <w:vAlign w:val="center"/>
          </w:tcPr>
          <w:p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5177" w:type="dxa"/>
            <w:gridSpan w:val="3"/>
            <w:vMerge w:val="continue"/>
            <w:vAlign w:val="center"/>
          </w:tcPr>
          <w:p>
            <w:pPr>
              <w:pStyle w:val="8"/>
              <w:numPr>
                <w:ilvl w:val="0"/>
                <w:numId w:val="2"/>
              </w:numPr>
              <w:ind w:left="406"/>
              <w:contextualSpacing/>
              <w:rPr>
                <w:rFonts w:ascii="Arial" w:hAnsi="Arial" w:cs="Arial"/>
                <w:color w:val="000000"/>
                <w:spacing w:val="-2"/>
                <w:lang w:val="en-GB"/>
              </w:rPr>
            </w:pPr>
          </w:p>
        </w:tc>
        <w:tc>
          <w:tcPr>
            <w:tcW w:w="2478" w:type="dxa"/>
            <w:vAlign w:val="center"/>
          </w:tcPr>
          <w:p>
            <w:pPr>
              <w:rPr>
                <w:rFonts w:ascii="Arial" w:hAnsi="Arial" w:cs="Arial" w:eastAsiaTheme="minorEastAsia"/>
                <w:color w:val="000000"/>
                <w:spacing w:val="-2"/>
                <w:lang w:val="en-GB" w:eastAsia="zh-CN"/>
              </w:rPr>
            </w:pPr>
            <w:r>
              <w:rPr>
                <w:rFonts w:hint="eastAsia" w:ascii="Arial" w:hAnsi="Arial" w:cs="Arial" w:eastAsiaTheme="minorEastAsia"/>
                <w:color w:val="000000"/>
                <w:lang w:eastAsia="zh-CN"/>
              </w:rPr>
              <w:t xml:space="preserve">LL: </w:t>
            </w:r>
            <w:r>
              <w:rPr>
                <w:rFonts w:ascii="Arial" w:hAnsi="Arial" w:cs="Arial"/>
                <w:color w:val="000000"/>
              </w:rPr>
              <w:t>Test 1*15%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43" w:type="dxa"/>
            <w:vMerge w:val="continue"/>
            <w:vAlign w:val="center"/>
          </w:tcPr>
          <w:p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5177" w:type="dxa"/>
            <w:gridSpan w:val="3"/>
            <w:vAlign w:val="center"/>
          </w:tcPr>
          <w:p>
            <w:pPr>
              <w:pStyle w:val="8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Mini Projects</w:t>
            </w:r>
          </w:p>
        </w:tc>
        <w:tc>
          <w:tcPr>
            <w:tcW w:w="2478" w:type="dxa"/>
            <w:vAlign w:val="center"/>
          </w:tcPr>
          <w:p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2*5%(LL+CL)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43" w:type="dxa"/>
            <w:vMerge w:val="continue"/>
            <w:vAlign w:val="center"/>
          </w:tcPr>
          <w:p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5177" w:type="dxa"/>
            <w:gridSpan w:val="3"/>
            <w:vAlign w:val="center"/>
          </w:tcPr>
          <w:p>
            <w:pPr>
              <w:pStyle w:val="8"/>
              <w:numPr>
                <w:ilvl w:val="0"/>
                <w:numId w:val="2"/>
              </w:numPr>
              <w:contextualSpacing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Final Exam</w:t>
            </w:r>
          </w:p>
        </w:tc>
        <w:tc>
          <w:tcPr>
            <w:tcW w:w="2478" w:type="dxa"/>
            <w:vAlign w:val="center"/>
          </w:tcPr>
          <w:p>
            <w:pPr>
              <w:rPr>
                <w:rFonts w:ascii="Arial" w:hAnsi="Arial" w:cs="Arial" w:eastAsiaTheme="minorEastAsia"/>
                <w:color w:val="000000"/>
                <w:lang w:eastAsia="zh-CN"/>
              </w:rPr>
            </w:pPr>
            <w:r>
              <w:rPr>
                <w:rFonts w:hint="eastAsia" w:ascii="Arial" w:hAnsi="Arial" w:cs="Arial" w:eastAsiaTheme="minorEastAsia"/>
                <w:color w:val="000000"/>
                <w:lang w:eastAsia="zh-CN"/>
              </w:rPr>
              <w:t>50%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843" w:type="dxa"/>
            <w:vMerge w:val="continue"/>
            <w:vAlign w:val="center"/>
          </w:tcPr>
          <w:p>
            <w:pPr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5177" w:type="dxa"/>
            <w:gridSpan w:val="3"/>
            <w:vAlign w:val="center"/>
          </w:tcPr>
          <w:p>
            <w:pPr>
              <w:pStyle w:val="8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</w:rPr>
              <w:t>Total Assessments</w:t>
            </w:r>
          </w:p>
        </w:tc>
        <w:tc>
          <w:tcPr>
            <w:tcW w:w="2478" w:type="dxa"/>
            <w:vAlign w:val="center"/>
          </w:tcPr>
          <w:p>
            <w:pPr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</w:rPr>
              <w:t>100%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9498" w:type="dxa"/>
            <w:gridSpan w:val="5"/>
            <w:vAlign w:val="center"/>
          </w:tcPr>
          <w:p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Required Texts and Resources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  <w:gridSpan w:val="5"/>
          </w:tcPr>
          <w:p>
            <w:pPr>
              <w:rPr>
                <w:rStyle w:val="7"/>
                <w:rFonts w:eastAsiaTheme="minorEastAsia"/>
                <w:b w:val="0"/>
                <w:sz w:val="24"/>
                <w:szCs w:val="24"/>
                <w:lang w:eastAsia="zh-CN"/>
              </w:rPr>
            </w:pPr>
            <w:r>
              <w:rPr>
                <w:rStyle w:val="7"/>
                <w:b w:val="0"/>
                <w:sz w:val="24"/>
                <w:szCs w:val="24"/>
              </w:rPr>
              <w:t xml:space="preserve">Financial Accounting, IFRS, 2nd Ed, Jan R. Williams, Susan F. Haka, Mark S. Bettner, Joseph V. Carcello, Nelson C.Y. Lam, Peter T.Y. Lau, McGraw Hill, </w:t>
            </w:r>
          </w:p>
          <w:p>
            <w:pPr>
              <w:rPr>
                <w:rFonts w:ascii="Arial" w:hAnsi="Arial" w:cs="Arial"/>
                <w:b/>
              </w:rPr>
            </w:pPr>
            <w:r>
              <w:rPr>
                <w:rStyle w:val="7"/>
                <w:b w:val="0"/>
                <w:sz w:val="24"/>
                <w:szCs w:val="24"/>
              </w:rPr>
              <w:t>ISBN: 9781259073625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49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Style w:val="7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Course Outlines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4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Week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rPr>
                <w:rStyle w:val="6"/>
                <w:rFonts w:ascii="Arial" w:hAnsi="Arial" w:cs="Arial"/>
                <w:sz w:val="24"/>
                <w:szCs w:val="24"/>
              </w:rPr>
            </w:pPr>
            <w:r>
              <w:rPr>
                <w:rStyle w:val="6"/>
                <w:rFonts w:ascii="Arial" w:hAnsi="Arial" w:cs="Arial"/>
                <w:sz w:val="24"/>
                <w:szCs w:val="24"/>
              </w:rPr>
              <w:t>Chapter</w:t>
            </w:r>
          </w:p>
        </w:tc>
        <w:tc>
          <w:tcPr>
            <w:tcW w:w="6096" w:type="dxa"/>
            <w:gridSpan w:val="2"/>
            <w:vAlign w:val="center"/>
          </w:tcPr>
          <w:p>
            <w:pPr>
              <w:snapToGrid w:val="0"/>
              <w:rPr>
                <w:rStyle w:val="6"/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Topic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4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1 - 2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rPr>
                <w:rStyle w:val="6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6"/>
                <w:rFonts w:ascii="Arial" w:hAnsi="Arial" w:cs="Arial"/>
                <w:b w:val="0"/>
                <w:sz w:val="24"/>
                <w:szCs w:val="24"/>
              </w:rPr>
              <w:t>10</w:t>
            </w:r>
          </w:p>
        </w:tc>
        <w:tc>
          <w:tcPr>
            <w:tcW w:w="6096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Style w:val="6"/>
                <w:rFonts w:ascii="Arial" w:hAnsi="Arial" w:cs="Arial"/>
                <w:b w:val="0"/>
                <w:sz w:val="24"/>
                <w:szCs w:val="24"/>
              </w:rPr>
              <w:t>Liabilities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4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3 - 4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rPr>
                <w:rStyle w:val="6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6"/>
                <w:rFonts w:ascii="Arial" w:hAnsi="Arial" w:cs="Arial"/>
                <w:b w:val="0"/>
                <w:sz w:val="24"/>
                <w:szCs w:val="24"/>
              </w:rPr>
              <w:t>11</w:t>
            </w:r>
          </w:p>
        </w:tc>
        <w:tc>
          <w:tcPr>
            <w:tcW w:w="6096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Style w:val="6"/>
                <w:rFonts w:ascii="Arial" w:hAnsi="Arial" w:cs="Arial"/>
                <w:b w:val="0"/>
                <w:sz w:val="24"/>
                <w:szCs w:val="24"/>
              </w:rPr>
              <w:t>Stockholders' Equity: Capital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4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 – 6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rPr>
                <w:rStyle w:val="6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6"/>
                <w:rFonts w:ascii="Arial" w:hAnsi="Arial" w:cs="Arial"/>
                <w:b w:val="0"/>
                <w:sz w:val="24"/>
                <w:szCs w:val="24"/>
              </w:rPr>
              <w:t>12</w:t>
            </w:r>
          </w:p>
        </w:tc>
        <w:tc>
          <w:tcPr>
            <w:tcW w:w="6096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Profit and Changes in Retained Earnings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4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7 - 8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rPr>
                <w:rStyle w:val="6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6"/>
                <w:rFonts w:ascii="Arial" w:hAnsi="Arial" w:cs="Arial"/>
                <w:b w:val="0"/>
                <w:sz w:val="24"/>
                <w:szCs w:val="24"/>
              </w:rPr>
              <w:t>13</w:t>
            </w:r>
          </w:p>
        </w:tc>
        <w:tc>
          <w:tcPr>
            <w:tcW w:w="6096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Style w:val="6"/>
                <w:rFonts w:ascii="Arial" w:hAnsi="Arial" w:cs="Arial"/>
                <w:b w:val="0"/>
                <w:sz w:val="24"/>
                <w:szCs w:val="24"/>
              </w:rPr>
              <w:t>Statement of Cash Flows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4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 – 10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rPr>
                <w:rStyle w:val="6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6"/>
                <w:rFonts w:ascii="Arial" w:hAnsi="Arial" w:cs="Arial"/>
                <w:b w:val="0"/>
                <w:sz w:val="24"/>
                <w:szCs w:val="24"/>
              </w:rPr>
              <w:t>14</w:t>
            </w:r>
          </w:p>
        </w:tc>
        <w:tc>
          <w:tcPr>
            <w:tcW w:w="6096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Style w:val="6"/>
                <w:rFonts w:ascii="Arial" w:hAnsi="Arial" w:cs="Arial"/>
                <w:b w:val="0"/>
                <w:sz w:val="24"/>
                <w:szCs w:val="24"/>
              </w:rPr>
              <w:t>Financial Statement Analysis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4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rPr>
                <w:rStyle w:val="6"/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Style w:val="6"/>
                <w:rFonts w:ascii="Arial" w:hAnsi="Arial" w:cs="Arial"/>
                <w:b w:val="0"/>
                <w:sz w:val="24"/>
                <w:szCs w:val="24"/>
              </w:rPr>
              <w:t>15</w:t>
            </w:r>
          </w:p>
        </w:tc>
        <w:tc>
          <w:tcPr>
            <w:tcW w:w="6096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Global Business and Accounting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984" w:type="dxa"/>
            <w:gridSpan w:val="2"/>
            <w:vAlign w:val="center"/>
          </w:tcPr>
          <w:p>
            <w:pPr>
              <w:snapToGrid w:val="0"/>
              <w:rPr>
                <w:rFonts w:hint="eastAsia" w:ascii="Arial" w:hAnsi="Arial" w:cs="Arial" w:eastAsiaTheme="minorEastAsia"/>
                <w:bCs/>
                <w:lang w:eastAsia="zh-CN"/>
              </w:rPr>
            </w:pPr>
            <w:r>
              <w:rPr>
                <w:rFonts w:ascii="Arial" w:hAnsi="Arial" w:cs="Arial"/>
                <w:bCs/>
              </w:rPr>
              <w:t>1</w:t>
            </w:r>
            <w:r>
              <w:rPr>
                <w:rFonts w:hint="eastAsia" w:ascii="Arial" w:hAnsi="Arial" w:cs="Arial" w:eastAsiaTheme="minorEastAsia"/>
                <w:bCs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snapToGrid w:val="0"/>
              <w:rPr>
                <w:rStyle w:val="6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>
            <w:pPr>
              <w:snapToGrid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Revision</w:t>
            </w:r>
          </w:p>
        </w:tc>
      </w:tr>
    </w:tbl>
    <w:p/>
    <w:sectPr>
      <w:footerReference r:id="rId3" w:type="default"/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top w:val="single" w:color="000000" w:sz="4" w:space="1"/>
      </w:pBdr>
      <w:rPr>
        <w:rFonts w:ascii="Arial" w:hAnsi="Arial" w:cs="Arial"/>
        <w:sz w:val="18"/>
        <w:lang w:val="en-SG"/>
      </w:rPr>
    </w:pPr>
    <w:r>
      <w:rPr>
        <w:rFonts w:ascii="Arial" w:hAnsi="Arial" w:cs="Arial"/>
        <w:sz w:val="18"/>
        <w:lang w:val="en-SG"/>
      </w:rPr>
      <w:t>AFFA332 Financial Accounting II Course Outline (v16)</w:t>
    </w:r>
    <w:r>
      <w:rPr>
        <w:rFonts w:ascii="Arial" w:hAnsi="Arial" w:cs="Arial"/>
        <w:sz w:val="18"/>
        <w:lang w:val="en-SG"/>
      </w:rPr>
      <w:tab/>
    </w:r>
    <w:r>
      <w:rPr>
        <w:rFonts w:ascii="Arial" w:hAnsi="Arial" w:cs="Arial"/>
        <w:sz w:val="18"/>
        <w:lang w:val="en-SG"/>
      </w:rPr>
      <w:tab/>
    </w:r>
    <w:r>
      <w:rPr>
        <w:rFonts w:ascii="Arial" w:hAnsi="Arial" w:cs="Arial"/>
        <w:sz w:val="18"/>
        <w:lang w:val="en-SG"/>
      </w:rPr>
      <w:t xml:space="preserve">Page: </w:t>
    </w:r>
    <w:r>
      <w:rPr>
        <w:rFonts w:ascii="Arial" w:hAnsi="Arial" w:cs="Arial"/>
        <w:sz w:val="18"/>
        <w:lang w:val="en-SG"/>
      </w:rPr>
      <w:fldChar w:fldCharType="begin"/>
    </w:r>
    <w:r>
      <w:rPr>
        <w:rFonts w:ascii="Arial" w:hAnsi="Arial" w:cs="Arial"/>
        <w:sz w:val="18"/>
        <w:lang w:val="en-SG"/>
      </w:rPr>
      <w:instrText xml:space="preserve"> PAGE   \* MERGEFORMAT </w:instrText>
    </w:r>
    <w:r>
      <w:rPr>
        <w:rFonts w:ascii="Arial" w:hAnsi="Arial" w:cs="Arial"/>
        <w:sz w:val="18"/>
        <w:lang w:val="en-SG"/>
      </w:rPr>
      <w:fldChar w:fldCharType="separate"/>
    </w:r>
    <w:r>
      <w:rPr>
        <w:rFonts w:ascii="Arial" w:hAnsi="Arial" w:cs="Arial"/>
        <w:sz w:val="18"/>
        <w:lang w:val="en-SG"/>
      </w:rPr>
      <w:t>2</w:t>
    </w:r>
    <w:r>
      <w:rPr>
        <w:rFonts w:ascii="Arial" w:hAnsi="Arial" w:cs="Arial"/>
        <w:sz w:val="18"/>
        <w:lang w:val="en-SG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C653C"/>
    <w:multiLevelType w:val="multilevel"/>
    <w:tmpl w:val="341C653C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 w:ascii="Arial" w:hAnsi="Arial" w:cs="Arial"/>
        <w:color w:val="000000"/>
        <w:sz w:val="24"/>
        <w:szCs w:val="24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  <w:sz w:val="20"/>
      </w:rPr>
    </w:lvl>
  </w:abstractNum>
  <w:abstractNum w:abstractNumId="1">
    <w:nsid w:val="3E951FCB"/>
    <w:multiLevelType w:val="multilevel"/>
    <w:tmpl w:val="3E951FCB"/>
    <w:lvl w:ilvl="0" w:tentative="0">
      <w:start w:val="1"/>
      <w:numFmt w:val="bullet"/>
      <w:lvlText w:val=""/>
      <w:lvlJc w:val="left"/>
      <w:pPr>
        <w:ind w:left="112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84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6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8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00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72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4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6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8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6AC"/>
    <w:rsid w:val="00054DDC"/>
    <w:rsid w:val="000A317D"/>
    <w:rsid w:val="0023220F"/>
    <w:rsid w:val="00284E90"/>
    <w:rsid w:val="003356AC"/>
    <w:rsid w:val="00341E0A"/>
    <w:rsid w:val="003527D8"/>
    <w:rsid w:val="004A4FEF"/>
    <w:rsid w:val="00627DBC"/>
    <w:rsid w:val="00743C3B"/>
    <w:rsid w:val="008C7198"/>
    <w:rsid w:val="00901927"/>
    <w:rsid w:val="00974DFB"/>
    <w:rsid w:val="009A7E3F"/>
    <w:rsid w:val="009F2EA2"/>
    <w:rsid w:val="00C03B5F"/>
    <w:rsid w:val="00E77ED5"/>
    <w:rsid w:val="00EA52F4"/>
    <w:rsid w:val="00FB6A61"/>
    <w:rsid w:val="00FC4542"/>
    <w:rsid w:val="076D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ar-SA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513"/>
        <w:tab w:val="right" w:pos="9026"/>
      </w:tabs>
    </w:pPr>
  </w:style>
  <w:style w:type="paragraph" w:styleId="3">
    <w:name w:val="header"/>
    <w:basedOn w:val="1"/>
    <w:link w:val="9"/>
    <w:unhideWhenUsed/>
    <w:uiPriority w:val="99"/>
    <w:pPr>
      <w:tabs>
        <w:tab w:val="center" w:pos="4513"/>
        <w:tab w:val="right" w:pos="9026"/>
      </w:tabs>
    </w:pPr>
  </w:style>
  <w:style w:type="character" w:customStyle="1" w:styleId="6">
    <w:name w:val="pagetitle1"/>
    <w:uiPriority w:val="0"/>
    <w:rPr>
      <w:rFonts w:ascii="Tahoma" w:hAnsi="Tahoma" w:cs="Tahoma"/>
      <w:b/>
      <w:bCs/>
      <w:sz w:val="32"/>
      <w:szCs w:val="32"/>
    </w:rPr>
  </w:style>
  <w:style w:type="character" w:customStyle="1" w:styleId="7">
    <w:name w:val="boldtxt1"/>
    <w:uiPriority w:val="0"/>
    <w:rPr>
      <w:rFonts w:hint="default" w:ascii="Arial" w:hAnsi="Arial" w:cs="Arial"/>
      <w:b/>
      <w:bCs/>
      <w:color w:val="000000"/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left="720"/>
    </w:pPr>
  </w:style>
  <w:style w:type="character" w:customStyle="1" w:styleId="9">
    <w:name w:val="页眉 Char"/>
    <w:basedOn w:val="4"/>
    <w:link w:val="3"/>
    <w:uiPriority w:val="99"/>
    <w:rPr>
      <w:rFonts w:ascii="Times New Roman" w:hAnsi="Times New Roman" w:eastAsia="Times New Roman" w:cs="Times New Roman"/>
      <w:sz w:val="24"/>
      <w:szCs w:val="24"/>
      <w:lang w:val="en-US" w:eastAsia="ar-SA"/>
    </w:rPr>
  </w:style>
  <w:style w:type="character" w:customStyle="1" w:styleId="10">
    <w:name w:val="页脚 Char"/>
    <w:basedOn w:val="4"/>
    <w:link w:val="2"/>
    <w:uiPriority w:val="99"/>
    <w:rPr>
      <w:rFonts w:ascii="Times New Roman" w:hAnsi="Times New Roman" w:eastAsia="Times New Roman" w:cs="Times New Roman"/>
      <w:sz w:val="24"/>
      <w:szCs w:val="24"/>
      <w:lang w:val="en-US" w:eastAsia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417</Words>
  <Characters>2378</Characters>
  <Lines>19</Lines>
  <Paragraphs>5</Paragraphs>
  <TotalTime>0</TotalTime>
  <ScaleCrop>false</ScaleCrop>
  <LinksUpToDate>false</LinksUpToDate>
  <CharactersWithSpaces>2790</CharactersWithSpaces>
  <Application>WPS Office_10.1.0.6235_F1E327BC-269C-435d-A152-05C5408002CA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2015-12-22T08:30:00Z</dcterms:created>
  <dc:creator>YMH</dc:creator>
  <cp:lastModifiedBy>apple</cp:lastModifiedBy>
  <cp:lastPrinted>2015-12-22T08:33:00Z</cp:lastPrinted>
  <dcterms:modified xsi:type="dcterms:W3CDTF">2017-05-16T06:54:05Z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