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45E57" w14:textId="2602BBBE" w:rsidR="00203EB2" w:rsidRPr="005247FB" w:rsidRDefault="00203EB2" w:rsidP="00203EB2">
      <w:pPr>
        <w:widowControl/>
        <w:shd w:val="clear" w:color="auto" w:fill="FFFFFF"/>
        <w:spacing w:line="27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5247F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关于疫情防控期间</w:t>
      </w:r>
      <w:r w:rsidR="005247F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备案</w:t>
      </w:r>
      <w:r w:rsidRPr="005247F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课程考核</w:t>
      </w:r>
      <w:r w:rsidR="005247F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方式</w:t>
      </w:r>
      <w:r w:rsidRPr="005247F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的</w:t>
      </w:r>
      <w:r w:rsidR="005247F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通知</w:t>
      </w:r>
    </w:p>
    <w:p w14:paraId="6FC29DFF" w14:textId="3B257BA1" w:rsidR="005247FB" w:rsidRPr="005247FB" w:rsidRDefault="005247FB" w:rsidP="00203EB2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247F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各二级教学单位：</w:t>
      </w:r>
    </w:p>
    <w:p w14:paraId="2C809ACF" w14:textId="5C1C4EEE" w:rsidR="005247FB" w:rsidRDefault="005247FB" w:rsidP="005247FB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本学期我校绝大多数课程已</w:t>
      </w:r>
      <w:r w:rsidR="002062C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于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线上</w:t>
      </w:r>
      <w:r w:rsidR="002062C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准时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开课，</w:t>
      </w:r>
      <w:r w:rsidR="002062C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随着线上教学的</w:t>
      </w:r>
      <w:r w:rsidR="00BF6C7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开展</w:t>
      </w:r>
      <w:r w:rsidR="002062C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，各课程将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陆续完成本学期的教学内容</w:t>
      </w:r>
      <w:r w:rsidR="002062C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进入课程考核阶段。为</w:t>
      </w:r>
      <w:proofErr w:type="gramStart"/>
      <w:r w:rsidR="002062C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配合线</w:t>
      </w:r>
      <w:proofErr w:type="gramEnd"/>
      <w:r w:rsidR="002062C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上教学及疫情防控的整体部署，各类课程的考核方式可根据实际情况，本着实事求是的原则进行适度调整。</w:t>
      </w:r>
    </w:p>
    <w:p w14:paraId="350BDDD5" w14:textId="3D386CD9" w:rsidR="005247FB" w:rsidRDefault="005247FB" w:rsidP="005247FB">
      <w:pPr>
        <w:widowControl/>
        <w:shd w:val="clear" w:color="auto" w:fill="FFFFFF"/>
        <w:spacing w:line="270" w:lineRule="atLeast"/>
        <w:ind w:firstLineChars="200" w:firstLine="54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考核方式</w:t>
      </w:r>
    </w:p>
    <w:p w14:paraId="31852531" w14:textId="3DC460EF" w:rsidR="005247FB" w:rsidRDefault="005247FB" w:rsidP="005247FB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考核方式分一般分为考试和考查。考试课的考试方式</w:t>
      </w:r>
      <w:r w:rsidR="0062327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一般以</w:t>
      </w:r>
      <w:r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笔试（开卷、闭卷）为主，也可根据课程的不同性质</w:t>
      </w:r>
      <w:r w:rsidR="0062327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</w:t>
      </w:r>
      <w:r w:rsidR="00623275" w:rsidRPr="0043484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内容特点确定</w:t>
      </w:r>
      <w:r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采取口试、机试、现场答辩、现场实际操作等灵活多样的考试方式。考查课主要通过</w:t>
      </w:r>
      <w:r w:rsidR="00E4042A" w:rsidRPr="0012235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大型作业、撰写论文</w:t>
      </w:r>
      <w:r w:rsidR="00E4042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或</w:t>
      </w:r>
      <w:r w:rsidR="00E4042A" w:rsidRPr="0012235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报告</w:t>
      </w:r>
      <w:r w:rsidR="00E4042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、若干阶段测试综合</w:t>
      </w:r>
      <w:r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等多种方式进行。</w:t>
      </w:r>
    </w:p>
    <w:p w14:paraId="1957681C" w14:textId="59167846" w:rsidR="002E1646" w:rsidRDefault="002E1646" w:rsidP="005247FB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本学期</w:t>
      </w:r>
      <w:r w:rsidR="0018772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各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教师</w:t>
      </w:r>
      <w:r w:rsidR="0018772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可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根据课程的</w:t>
      </w:r>
      <w:r w:rsidR="0018772D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性质和教学的特点</w:t>
      </w:r>
      <w:r w:rsidR="0018772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自行决定考核方式，</w:t>
      </w:r>
      <w:r w:rsidR="001611D6" w:rsidRPr="0036316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如课程考核方式为考查，则</w:t>
      </w:r>
      <w:r w:rsidR="00BF6C7F" w:rsidRPr="0036316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填写《疫情防控期间课程考核备案表》，</w:t>
      </w:r>
      <w:r w:rsidR="0018772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由各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教学单位审核</w:t>
      </w:r>
      <w:r w:rsidR="00BF6C7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后</w:t>
      </w:r>
      <w:r w:rsidR="0018772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交至教务处备案。</w:t>
      </w:r>
    </w:p>
    <w:p w14:paraId="18E318E5" w14:textId="1217CF71" w:rsidR="00E34C16" w:rsidRPr="00E34C16" w:rsidRDefault="00E34C16" w:rsidP="00E34C16">
      <w:pPr>
        <w:widowControl/>
        <w:shd w:val="clear" w:color="auto" w:fill="FFFFFF"/>
        <w:spacing w:line="27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体育课的考核，要从</w:t>
      </w:r>
      <w:r w:rsidRPr="00F27B7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疫情防控期间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的特殊</w:t>
      </w:r>
      <w:r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情况出发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，制订各体育选项的详细考核方案</w:t>
      </w:r>
      <w:r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报教务处备案</w:t>
      </w:r>
      <w:r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</w:t>
      </w:r>
    </w:p>
    <w:p w14:paraId="116F670C" w14:textId="20035688" w:rsidR="002062C0" w:rsidRPr="002E1646" w:rsidRDefault="002062C0" w:rsidP="002E1646">
      <w:pPr>
        <w:widowControl/>
        <w:shd w:val="clear" w:color="auto" w:fill="FFFFFF"/>
        <w:spacing w:line="270" w:lineRule="atLeast"/>
        <w:ind w:firstLineChars="200" w:firstLine="542"/>
        <w:jc w:val="left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2E1646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二、考核时间</w:t>
      </w:r>
    </w:p>
    <w:p w14:paraId="7F8C5773" w14:textId="19029379" w:rsidR="00F27B7F" w:rsidRPr="00F27B7F" w:rsidRDefault="00F27B7F" w:rsidP="00F27B7F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/>
          <w:color w:val="000000"/>
          <w:kern w:val="0"/>
          <w:sz w:val="27"/>
          <w:szCs w:val="27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凡考试课程必须在学生全部返校后由学院或教务处组织完成。</w:t>
      </w:r>
    </w:p>
    <w:p w14:paraId="3B1B5940" w14:textId="408693F8" w:rsidR="002062C0" w:rsidRDefault="00F27B7F" w:rsidP="005247FB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/>
          <w:color w:val="000000"/>
          <w:kern w:val="0"/>
          <w:sz w:val="27"/>
          <w:szCs w:val="27"/>
        </w:rPr>
        <w:t>2</w:t>
      </w:r>
      <w:r w:rsidR="002062C0">
        <w:rPr>
          <w:rFonts w:ascii="宋体" w:eastAsia="宋体" w:hAnsi="宋体" w:cs="宋体"/>
          <w:color w:val="000000"/>
          <w:kern w:val="0"/>
          <w:sz w:val="27"/>
          <w:szCs w:val="27"/>
        </w:rPr>
        <w:t>.</w:t>
      </w:r>
      <w:r w:rsidR="002062C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凡考查课程可于课程</w:t>
      </w:r>
      <w:r w:rsidR="002E164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中或课程</w:t>
      </w:r>
      <w:r w:rsidR="002062C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结束</w:t>
      </w:r>
      <w:r w:rsidR="002E164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后由任课教师组织完成。</w:t>
      </w:r>
    </w:p>
    <w:p w14:paraId="7915C0EE" w14:textId="77777777" w:rsidR="0088211C" w:rsidRPr="00203EB2" w:rsidRDefault="0088211C" w:rsidP="0088211C">
      <w:pPr>
        <w:widowControl/>
        <w:shd w:val="clear" w:color="auto" w:fill="FFFFFF"/>
        <w:spacing w:line="270" w:lineRule="atLeast"/>
        <w:ind w:firstLineChars="200" w:firstLine="542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三、</w:t>
      </w:r>
      <w:r w:rsidRPr="00203EB2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成绩考核标准</w:t>
      </w:r>
    </w:p>
    <w:p w14:paraId="52977561" w14:textId="77777777" w:rsidR="0088211C" w:rsidRPr="00203EB2" w:rsidRDefault="0088211C" w:rsidP="0088211C">
      <w:pPr>
        <w:widowControl/>
        <w:shd w:val="clear" w:color="auto" w:fill="FFFFFF"/>
        <w:spacing w:line="270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每门课程的成绩评定由任课教师负责。</w:t>
      </w:r>
    </w:p>
    <w:p w14:paraId="177EDB17" w14:textId="11C53907" w:rsidR="0088211C" w:rsidRPr="00203EB2" w:rsidRDefault="00F27B7F" w:rsidP="0088211C">
      <w:pPr>
        <w:widowControl/>
        <w:shd w:val="clear" w:color="auto" w:fill="FFFFFF"/>
        <w:spacing w:line="270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color w:val="000000"/>
          <w:kern w:val="0"/>
          <w:sz w:val="27"/>
          <w:szCs w:val="27"/>
        </w:rPr>
        <w:lastRenderedPageBreak/>
        <w:t>1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.</w:t>
      </w:r>
      <w:r w:rsidR="001611D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如课程</w:t>
      </w:r>
      <w:proofErr w:type="gramStart"/>
      <w:r w:rsidR="001611D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原考核</w:t>
      </w:r>
      <w:proofErr w:type="gramEnd"/>
      <w:r w:rsidR="001611D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方式为</w:t>
      </w:r>
      <w:r w:rsidR="0088211C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考试</w:t>
      </w:r>
      <w:r w:rsidR="001611D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，现改为考查，则课程</w:t>
      </w:r>
      <w:r w:rsidR="0088211C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成绩</w:t>
      </w:r>
      <w:r w:rsidR="001611D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仍</w:t>
      </w:r>
      <w:r w:rsidR="0088211C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按百分制（一般不应出现小数点）评定，60分为及格，及格以上取得该门课程学分。</w:t>
      </w:r>
      <w:r w:rsidRPr="00F27B7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疫情防控期间</w:t>
      </w:r>
      <w:r w:rsidR="0088211C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期末</w:t>
      </w:r>
      <w:r w:rsidR="001611D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</w:t>
      </w:r>
      <w:r w:rsidR="0088211C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平时成绩</w:t>
      </w:r>
      <w:r w:rsidR="001611D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占比由任课教师决定</w:t>
      </w:r>
      <w:r w:rsidR="0088211C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，综合评定最终成绩。</w:t>
      </w:r>
    </w:p>
    <w:p w14:paraId="78A7B474" w14:textId="56298859" w:rsidR="0088211C" w:rsidRPr="00203EB2" w:rsidRDefault="00F27B7F" w:rsidP="0088211C">
      <w:pPr>
        <w:widowControl/>
        <w:shd w:val="clear" w:color="auto" w:fill="FFFFFF"/>
        <w:spacing w:line="270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color w:val="000000"/>
          <w:kern w:val="0"/>
          <w:sz w:val="27"/>
          <w:szCs w:val="27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.</w:t>
      </w:r>
      <w:r w:rsidR="001611D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如课程</w:t>
      </w:r>
      <w:proofErr w:type="gramStart"/>
      <w:r w:rsidR="001611D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原考核</w:t>
      </w:r>
      <w:proofErr w:type="gramEnd"/>
      <w:r w:rsidR="001611D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方式为</w:t>
      </w:r>
      <w:r w:rsidR="0088211C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考查</w:t>
      </w:r>
      <w:r w:rsidR="001611D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，</w:t>
      </w:r>
      <w:r w:rsidR="0088211C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采用等级分制评定成绩，等级分制按优秀、良好、中等、及格、不及格五等记分。</w:t>
      </w:r>
      <w:r w:rsidRPr="00F27B7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疫情防控期间</w:t>
      </w:r>
      <w:r w:rsidR="0088211C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考查课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可由任课教师根据线上教学特点自主设计各个</w:t>
      </w:r>
      <w:r w:rsidR="00C72C0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考核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环节（如</w:t>
      </w:r>
      <w:r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课外作业、课堂提问、讨论及平时测验等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）的成绩占比。</w:t>
      </w:r>
    </w:p>
    <w:p w14:paraId="01DBA6A0" w14:textId="1E5417B8" w:rsidR="00F27B7F" w:rsidRPr="00203EB2" w:rsidRDefault="0084416C" w:rsidP="00F27B7F">
      <w:pPr>
        <w:widowControl/>
        <w:shd w:val="clear" w:color="auto" w:fill="FFFFFF"/>
        <w:spacing w:line="270" w:lineRule="atLeast"/>
        <w:ind w:firstLineChars="200" w:firstLine="542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四</w:t>
      </w:r>
      <w:r w:rsidR="00F27B7F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注意事项</w:t>
      </w:r>
    </w:p>
    <w:p w14:paraId="62940AA9" w14:textId="0BA847B0" w:rsidR="00F27B7F" w:rsidRPr="00203EB2" w:rsidRDefault="0084416C" w:rsidP="00F27B7F">
      <w:pPr>
        <w:widowControl/>
        <w:shd w:val="clear" w:color="auto" w:fill="FFFFFF"/>
        <w:spacing w:line="270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1.</w:t>
      </w:r>
      <w:r w:rsidR="00F27B7F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学生成绩考核是教学过程中一个十分重要的环节，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在疫情防控的特殊时期，望各二级教学单位</w:t>
      </w:r>
      <w:r w:rsidR="00BF6C7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高度</w:t>
      </w:r>
      <w:r w:rsidR="00F27B7F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重视学生成绩考核和管理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</w:t>
      </w:r>
    </w:p>
    <w:p w14:paraId="6542D8A3" w14:textId="4E72DC46" w:rsidR="00203EB2" w:rsidRPr="00203EB2" w:rsidRDefault="0084416C" w:rsidP="00203EB2">
      <w:pPr>
        <w:widowControl/>
        <w:shd w:val="clear" w:color="auto" w:fill="FFFFFF"/>
        <w:spacing w:line="270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color w:val="000000"/>
          <w:kern w:val="0"/>
          <w:sz w:val="27"/>
          <w:szCs w:val="27"/>
        </w:rPr>
        <w:t>2.</w:t>
      </w:r>
      <w:r w:rsidR="00203EB2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考核方式与成绩评定标准应向学生明确，在执行过程中要严格按照</w:t>
      </w:r>
      <w:r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标准</w:t>
      </w:r>
      <w:r w:rsidR="00203EB2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考核。各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二级教学单位</w:t>
      </w:r>
      <w:r w:rsidR="00203EB2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可在学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校</w:t>
      </w:r>
      <w:r w:rsidR="00203EB2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成绩考核标准的基础上</w:t>
      </w:r>
      <w:r w:rsidR="00BF6C7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形成</w:t>
      </w:r>
      <w:proofErr w:type="gramStart"/>
      <w:r w:rsidR="00203EB2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教学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单位</w:t>
      </w:r>
      <w:r w:rsidR="00BF6C7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的</w:t>
      </w:r>
      <w:r w:rsidR="00203EB2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成绩考核标准，报教务处备案。</w:t>
      </w:r>
    </w:p>
    <w:p w14:paraId="0502D7A6" w14:textId="0BF4F15C" w:rsidR="00203EB2" w:rsidRDefault="00BF6C7F" w:rsidP="00203EB2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</w:t>
      </w:r>
      <w:r>
        <w:rPr>
          <w:rFonts w:ascii="宋体" w:eastAsia="宋体" w:hAnsi="宋体" w:cs="宋体"/>
          <w:color w:val="000000"/>
          <w:kern w:val="0"/>
          <w:sz w:val="27"/>
          <w:szCs w:val="27"/>
        </w:rPr>
        <w:t>.</w:t>
      </w:r>
      <w:r w:rsidRPr="00BF6C7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《疫情防控期间课程考核备案表》</w:t>
      </w:r>
      <w:r w:rsidR="0043484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、《2</w:t>
      </w:r>
      <w:r w:rsidR="0043484E">
        <w:rPr>
          <w:rFonts w:ascii="宋体" w:eastAsia="宋体" w:hAnsi="宋体" w:cs="宋体"/>
          <w:color w:val="000000"/>
          <w:kern w:val="0"/>
          <w:sz w:val="27"/>
          <w:szCs w:val="27"/>
        </w:rPr>
        <w:t>019-2020-2</w:t>
      </w:r>
      <w:r w:rsidR="0043484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学期期末考试汇总表》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请于5月8日前由各</w:t>
      </w:r>
      <w:r w:rsidR="002E17E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教学单位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收集</w:t>
      </w:r>
      <w:r w:rsidR="0043484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、汇总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后交至教务处考试与印刷中心谢</w:t>
      </w:r>
      <w:r w:rsidR="00E4042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老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师</w:t>
      </w:r>
      <w:r w:rsidR="00895C1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(</w:t>
      </w:r>
      <w:r w:rsidR="00166812">
        <w:rPr>
          <w:rFonts w:ascii="宋体" w:eastAsia="宋体" w:hAnsi="宋体" w:cs="宋体"/>
          <w:color w:val="000000"/>
          <w:kern w:val="0"/>
          <w:sz w:val="27"/>
          <w:szCs w:val="27"/>
        </w:rPr>
        <w:t>7512</w:t>
      </w:r>
      <w:r w:rsidR="00895C13">
        <w:rPr>
          <w:rFonts w:ascii="宋体" w:eastAsia="宋体" w:hAnsi="宋体" w:cs="宋体"/>
          <w:color w:val="000000"/>
          <w:kern w:val="0"/>
          <w:sz w:val="27"/>
          <w:szCs w:val="27"/>
        </w:rPr>
        <w:t>)</w:t>
      </w:r>
      <w:r w:rsidR="00895C1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邮箱</w:t>
      </w:r>
      <w:r w:rsidR="00C72C0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：</w:t>
      </w:r>
      <w:r w:rsidR="00895C13" w:rsidRPr="00895C13">
        <w:rPr>
          <w:rFonts w:ascii="宋体" w:eastAsia="宋体" w:hAnsi="宋体" w:cs="宋体"/>
          <w:color w:val="000000"/>
          <w:kern w:val="0"/>
          <w:sz w:val="27"/>
          <w:szCs w:val="27"/>
        </w:rPr>
        <w:t>407626651</w:t>
      </w:r>
      <w:r w:rsidR="00895C13">
        <w:rPr>
          <w:rFonts w:ascii="宋体" w:eastAsia="宋体" w:hAnsi="宋体" w:cs="宋体"/>
          <w:color w:val="000000"/>
          <w:kern w:val="0"/>
          <w:sz w:val="27"/>
          <w:szCs w:val="27"/>
        </w:rPr>
        <w:t>@qq.com</w:t>
      </w:r>
      <w:r w:rsidR="00203EB2" w:rsidRPr="00203EB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</w:t>
      </w:r>
    </w:p>
    <w:p w14:paraId="6258F250" w14:textId="367DD800" w:rsidR="00BF6C7F" w:rsidRDefault="00BF6C7F" w:rsidP="00203EB2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特此通知。</w:t>
      </w:r>
    </w:p>
    <w:p w14:paraId="62861B1A" w14:textId="5A9098AE" w:rsidR="00BF6C7F" w:rsidRDefault="00BF6C7F" w:rsidP="00BF6C7F">
      <w:pPr>
        <w:widowControl/>
        <w:shd w:val="clear" w:color="auto" w:fill="FFFFFF"/>
        <w:spacing w:line="270" w:lineRule="atLeast"/>
        <w:ind w:firstLineChars="1800" w:firstLine="486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三江学院教务处</w:t>
      </w:r>
    </w:p>
    <w:p w14:paraId="5917A02B" w14:textId="02AA5AB3" w:rsidR="00203EB2" w:rsidRDefault="00BF6C7F" w:rsidP="00BF6C7F">
      <w:pPr>
        <w:widowControl/>
        <w:shd w:val="clear" w:color="auto" w:fill="FFFFFF"/>
        <w:spacing w:line="270" w:lineRule="atLeast"/>
        <w:ind w:firstLineChars="1800" w:firstLine="486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/>
          <w:color w:val="000000"/>
          <w:kern w:val="0"/>
          <w:sz w:val="27"/>
          <w:szCs w:val="27"/>
        </w:rPr>
        <w:t>2020年4月20日</w:t>
      </w:r>
    </w:p>
    <w:p w14:paraId="30E2C9BF" w14:textId="42015146" w:rsidR="00BF6C7F" w:rsidRDefault="00BF6C7F" w:rsidP="00BF6C7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附件</w:t>
      </w:r>
      <w:r w:rsidR="0043484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：疫情防控期间课程考核备案表</w:t>
      </w:r>
    </w:p>
    <w:p w14:paraId="4797C132" w14:textId="0C2AB850" w:rsidR="0043484E" w:rsidRDefault="0043484E" w:rsidP="00BF6C7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附件2：2</w:t>
      </w:r>
      <w:r>
        <w:rPr>
          <w:rFonts w:ascii="宋体" w:eastAsia="宋体" w:hAnsi="宋体" w:cs="宋体"/>
          <w:color w:val="000000"/>
          <w:kern w:val="0"/>
          <w:sz w:val="27"/>
          <w:szCs w:val="27"/>
        </w:rPr>
        <w:t>019-2020</w:t>
      </w:r>
      <w:r w:rsidR="0036316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学年第</w:t>
      </w:r>
      <w:r>
        <w:rPr>
          <w:rFonts w:ascii="宋体" w:eastAsia="宋体" w:hAnsi="宋体" w:cs="宋体"/>
          <w:color w:val="000000"/>
          <w:kern w:val="0"/>
          <w:sz w:val="27"/>
          <w:szCs w:val="27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学期期末考试汇总表</w:t>
      </w:r>
    </w:p>
    <w:p w14:paraId="392E1111" w14:textId="1DF81FFD" w:rsidR="00FE5F89" w:rsidRDefault="00BF6C7F" w:rsidP="00BF6C7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附件</w:t>
      </w:r>
      <w:r w:rsidR="0043484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：</w:t>
      </w:r>
    </w:p>
    <w:p w14:paraId="64E42D7D" w14:textId="08ABF29E" w:rsidR="00BF6C7F" w:rsidRDefault="00BF6C7F" w:rsidP="00FE5F89">
      <w:pPr>
        <w:widowControl/>
        <w:shd w:val="clear" w:color="auto" w:fill="FFFFFF"/>
        <w:spacing w:line="27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FE5F8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疫情防控期间课程考核备案表</w:t>
      </w:r>
    </w:p>
    <w:p w14:paraId="4787494D" w14:textId="31C772FD" w:rsidR="00FE5F89" w:rsidRPr="00CE5CFA" w:rsidRDefault="001C58C4" w:rsidP="00FE5F8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教学单位</w:t>
      </w:r>
      <w:r w:rsidR="00FE5F89" w:rsidRPr="00CE5CFA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2542"/>
        <w:gridCol w:w="2268"/>
        <w:gridCol w:w="1994"/>
      </w:tblGrid>
      <w:tr w:rsidR="00FE5F89" w14:paraId="6B63A38F" w14:textId="77777777" w:rsidTr="00C72C06">
        <w:trPr>
          <w:trHeight w:val="56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CB176" w14:textId="38379402" w:rsidR="00FE5F89" w:rsidRPr="00CE5CFA" w:rsidRDefault="00FE5F89" w:rsidP="00CE5CFA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0B424" w14:textId="77777777" w:rsidR="00FE5F89" w:rsidRPr="00CE5CFA" w:rsidRDefault="00FE5F89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B8C5D" w14:textId="601E8254" w:rsidR="00FE5F89" w:rsidRPr="00CE5CFA" w:rsidRDefault="00FE5F89" w:rsidP="00CE5CFA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E5B529" w14:textId="4B94823B" w:rsidR="00FE5F89" w:rsidRPr="00CE5CFA" w:rsidRDefault="00FE5F89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E5F89" w14:paraId="3D10768E" w14:textId="77777777" w:rsidTr="00C72C06">
        <w:trPr>
          <w:trHeight w:val="567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69198" w14:textId="26F4FDFC" w:rsidR="00FE5F89" w:rsidRPr="00CE5CFA" w:rsidRDefault="00FE5F89" w:rsidP="00CE5CFA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任课教师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5CBF" w14:textId="77777777" w:rsidR="00FE5F89" w:rsidRPr="00CE5CFA" w:rsidRDefault="00FE5F89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CDC6" w14:textId="5874E102" w:rsidR="00FE5F89" w:rsidRPr="00CE5CFA" w:rsidRDefault="00FE5F89" w:rsidP="00CE5CFA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教学班组成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CCF644" w14:textId="23B5EF66" w:rsidR="00FE5F89" w:rsidRPr="00CE5CFA" w:rsidRDefault="00FE5F89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E5F89" w14:paraId="260BCA36" w14:textId="77777777" w:rsidTr="00C72C06">
        <w:trPr>
          <w:trHeight w:val="567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A0F5FC" w14:textId="294B7BAC" w:rsidR="00FE5F89" w:rsidRPr="00CE5CFA" w:rsidRDefault="00CE5CFA" w:rsidP="00CE5CFA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</w:t>
            </w:r>
            <w:r w:rsidR="00FE5F89"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099A91" w14:textId="6A704102" w:rsidR="00FE5F89" w:rsidRPr="00CE5CFA" w:rsidRDefault="00FE5F89" w:rsidP="00CE5CFA">
            <w:pPr>
              <w:widowControl/>
              <w:spacing w:line="270" w:lineRule="atLeast"/>
              <w:ind w:firstLineChars="100" w:firstLine="21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考查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7B743B" w14:textId="2BBF97FA" w:rsidR="00C72C06" w:rsidRPr="00C72C06" w:rsidRDefault="00CE5CFA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</w:t>
            </w:r>
            <w:r w:rsidR="00FE5F89"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</w:t>
            </w:r>
            <w:proofErr w:type="gramEnd"/>
            <w:r w:rsidR="00FE5F89"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34A71" w14:textId="17D1DE76" w:rsidR="00FE5F89" w:rsidRPr="00CE5CFA" w:rsidRDefault="00FE5F89" w:rsidP="00FE5F8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□考查 □考试</w:t>
            </w:r>
          </w:p>
        </w:tc>
      </w:tr>
      <w:tr w:rsidR="00FE5F89" w14:paraId="036B3C31" w14:textId="77777777" w:rsidTr="00CE5CFA">
        <w:trPr>
          <w:trHeight w:val="567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80E53" w14:textId="7B09EAC1" w:rsidR="00FE5F89" w:rsidRPr="00CE5CFA" w:rsidRDefault="00FE5F89" w:rsidP="00CE5CFA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成绩组成</w:t>
            </w:r>
            <w:r w:rsidR="005312D5" w:rsidRPr="0043484E">
              <w:rPr>
                <w:rFonts w:ascii="宋体" w:eastAsia="宋体" w:hAnsi="宋体" w:cs="宋体"/>
                <w:color w:val="000000"/>
                <w:kern w:val="0"/>
                <w:szCs w:val="21"/>
                <w:vertAlign w:val="superscript"/>
              </w:rPr>
              <w:fldChar w:fldCharType="begin"/>
            </w:r>
            <w:r w:rsidR="005312D5" w:rsidRPr="0043484E">
              <w:rPr>
                <w:rFonts w:ascii="宋体" w:eastAsia="宋体" w:hAnsi="宋体" w:cs="宋体"/>
                <w:color w:val="000000"/>
                <w:kern w:val="0"/>
                <w:szCs w:val="21"/>
                <w:vertAlign w:val="superscript"/>
              </w:rPr>
              <w:instrText xml:space="preserve"> eq \o\ac(</w:instrText>
            </w:r>
            <w:r w:rsidR="005312D5" w:rsidRPr="0043484E">
              <w:rPr>
                <w:rFonts w:ascii="宋体" w:eastAsia="宋体" w:hAnsi="宋体" w:cs="宋体" w:hint="eastAsia"/>
                <w:color w:val="000000"/>
                <w:kern w:val="0"/>
                <w:position w:val="-4"/>
                <w:sz w:val="31"/>
                <w:szCs w:val="21"/>
                <w:vertAlign w:val="superscript"/>
              </w:rPr>
              <w:instrText>○</w:instrText>
            </w:r>
            <w:r w:rsidR="005312D5" w:rsidRPr="0043484E">
              <w:rPr>
                <w:rFonts w:ascii="宋体" w:eastAsia="宋体" w:hAnsi="宋体" w:cs="宋体"/>
                <w:color w:val="000000"/>
                <w:kern w:val="0"/>
                <w:szCs w:val="21"/>
                <w:vertAlign w:val="superscript"/>
              </w:rPr>
              <w:instrText>,1)</w:instrText>
            </w:r>
            <w:r w:rsidR="005312D5" w:rsidRPr="0043484E">
              <w:rPr>
                <w:rFonts w:ascii="宋体" w:eastAsia="宋体" w:hAnsi="宋体" w:cs="宋体"/>
                <w:color w:val="000000"/>
                <w:kern w:val="0"/>
                <w:szCs w:val="21"/>
                <w:vertAlign w:val="superscript"/>
              </w:rPr>
              <w:fldChar w:fldCharType="end"/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FB1E2" w14:textId="29C5ABB6" w:rsidR="00FE5F89" w:rsidRPr="00CE5CFA" w:rsidRDefault="00FE5F89" w:rsidP="00FE5F89">
            <w:pPr>
              <w:widowControl/>
              <w:spacing w:line="270" w:lineRule="atLeast"/>
              <w:ind w:firstLine="552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C72C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占</w:t>
            </w:r>
            <w:r w:rsidRPr="00CE5CF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</w:t>
            </w: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%； </w:t>
            </w:r>
            <w:r w:rsidRPr="00CE5CF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C72C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占</w:t>
            </w:r>
            <w:r w:rsidRPr="00CE5CF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</w:t>
            </w: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%； </w:t>
            </w:r>
            <w:r w:rsidRPr="00CE5CF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</w:t>
            </w: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C72C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占</w:t>
            </w:r>
            <w:r w:rsidRPr="00CE5CF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</w:t>
            </w:r>
          </w:p>
          <w:p w14:paraId="0C285C57" w14:textId="3A263CFA" w:rsidR="001611D6" w:rsidRPr="00CE5CFA" w:rsidRDefault="00FE5F89">
            <w:pPr>
              <w:widowControl/>
              <w:spacing w:line="270" w:lineRule="atLeast"/>
              <w:ind w:firstLine="552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CE5CF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C72C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占</w:t>
            </w: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CE5CF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%。</w:t>
            </w:r>
            <w:r w:rsidR="001611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1611D6"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平时，</w:t>
            </w:r>
            <w:r w:rsidR="001611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占</w:t>
            </w:r>
            <w:r w:rsidR="001611D6"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611D6" w:rsidRPr="00CE5CF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%</w:t>
            </w:r>
            <w:r w:rsidR="001611D6"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；期末</w:t>
            </w:r>
            <w:r w:rsidR="001611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，占</w:t>
            </w:r>
            <w:r w:rsidR="001611D6" w:rsidRPr="00CE5CF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</w:t>
            </w:r>
            <w:r w:rsidR="001611D6"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%。</w:t>
            </w:r>
            <w:r w:rsidR="001611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FE5F89" w14:paraId="18DF0E97" w14:textId="77777777" w:rsidTr="00CE5CFA">
        <w:trPr>
          <w:trHeight w:val="567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F0DB53" w14:textId="2973D76E" w:rsidR="00FE5F89" w:rsidRPr="00CE5CFA" w:rsidRDefault="00FE5F89" w:rsidP="00CE5CFA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800D0" w14:textId="3F2A688D" w:rsidR="00FE5F89" w:rsidRDefault="00FE5F89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8F9C9F4" w14:textId="01C58297" w:rsidR="00CE5CFA" w:rsidRDefault="00CE5CFA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12F9261" w14:textId="77777777" w:rsidR="00CE5CFA" w:rsidRPr="00CE5CFA" w:rsidRDefault="00CE5CFA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EBC92B6" w14:textId="77777777" w:rsidR="00CE5CFA" w:rsidRDefault="00CE5CFA" w:rsidP="00CE5CFA">
            <w:pPr>
              <w:widowControl/>
              <w:spacing w:line="270" w:lineRule="atLeast"/>
              <w:ind w:firstLineChars="1500" w:firstLine="31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514EF3A" w14:textId="77777777" w:rsidR="00CE5CFA" w:rsidRDefault="00CE5CFA" w:rsidP="00CE5CFA">
            <w:pPr>
              <w:widowControl/>
              <w:spacing w:line="270" w:lineRule="atLeast"/>
              <w:ind w:firstLineChars="1500" w:firstLine="31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47AED2F0" w14:textId="03552910" w:rsidR="00CE5CFA" w:rsidRPr="00CE5CFA" w:rsidRDefault="00CE5CFA" w:rsidP="00CE5CFA">
            <w:pPr>
              <w:widowControl/>
              <w:spacing w:line="270" w:lineRule="atLeast"/>
              <w:ind w:firstLineChars="1500" w:firstLine="31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C58C4" w14:paraId="5CB5FA6A" w14:textId="77777777" w:rsidTr="00CE5CFA">
        <w:trPr>
          <w:trHeight w:val="567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B646CE" w14:textId="1F484DD6" w:rsidR="001C58C4" w:rsidRPr="00CE5CFA" w:rsidRDefault="001C58C4" w:rsidP="00CE5CFA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系（教研室）意见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26CD2" w14:textId="77777777" w:rsidR="001C58C4" w:rsidRDefault="001C58C4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3A158D61" w14:textId="77777777" w:rsidR="001C58C4" w:rsidRDefault="001C58C4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67DD9AF4" w14:textId="77777777" w:rsidR="001C58C4" w:rsidRDefault="001C58C4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3B8E5EE1" w14:textId="77777777" w:rsidR="001C58C4" w:rsidRDefault="001C58C4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FDAA837" w14:textId="77777777" w:rsidR="001C58C4" w:rsidRDefault="001C58C4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627434F3" w14:textId="77777777" w:rsidR="001C58C4" w:rsidRPr="00CE5CFA" w:rsidRDefault="001C58C4" w:rsidP="001C58C4">
            <w:pPr>
              <w:widowControl/>
              <w:spacing w:line="270" w:lineRule="atLeast"/>
              <w:ind w:firstLineChars="1500" w:firstLine="31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负责人：</w:t>
            </w:r>
          </w:p>
          <w:p w14:paraId="08C7312B" w14:textId="1F20287E" w:rsidR="001C58C4" w:rsidRDefault="001C58C4" w:rsidP="0025518D">
            <w:pPr>
              <w:widowControl/>
              <w:spacing w:line="270" w:lineRule="atLeast"/>
              <w:ind w:firstLineChars="1500" w:firstLine="31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日 </w:t>
            </w:r>
            <w:r w:rsidRPr="00CE5CF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期：</w:t>
            </w:r>
          </w:p>
        </w:tc>
      </w:tr>
      <w:tr w:rsidR="00CE5CFA" w14:paraId="56007DDB" w14:textId="77777777" w:rsidTr="00CE5CFA">
        <w:trPr>
          <w:trHeight w:val="56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1D98C" w14:textId="4B93164C" w:rsidR="00CE5CFA" w:rsidRPr="00CE5CFA" w:rsidRDefault="00CE5CFA" w:rsidP="001C58C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教学单位意见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2DB30A" w14:textId="5F9560AB" w:rsidR="00CE5CFA" w:rsidRDefault="00CE5CFA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00AA72FE" w14:textId="260A18D9" w:rsidR="00CE5CFA" w:rsidRDefault="00CE5CFA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6C67F481" w14:textId="77777777" w:rsidR="00CE5CFA" w:rsidRPr="00CE5CFA" w:rsidRDefault="00CE5CFA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8D490FB" w14:textId="77777777" w:rsidR="00CE5CFA" w:rsidRPr="00CE5CFA" w:rsidRDefault="00CE5CFA" w:rsidP="00CE5CFA">
            <w:pPr>
              <w:widowControl/>
              <w:spacing w:line="270" w:lineRule="atLeast"/>
              <w:ind w:firstLineChars="1500" w:firstLine="31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负责人：</w:t>
            </w:r>
          </w:p>
          <w:p w14:paraId="6B23C319" w14:textId="2030293F" w:rsidR="00CE5CFA" w:rsidRPr="00CE5CFA" w:rsidRDefault="00CE5CFA" w:rsidP="00CE5CFA">
            <w:pPr>
              <w:widowControl/>
              <w:spacing w:line="270" w:lineRule="atLeast"/>
              <w:ind w:firstLineChars="1500" w:firstLine="31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日 </w:t>
            </w:r>
            <w:r w:rsidRPr="00CE5CF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期：</w:t>
            </w:r>
          </w:p>
        </w:tc>
      </w:tr>
      <w:tr w:rsidR="00FE5F89" w14:paraId="609CA719" w14:textId="77777777" w:rsidTr="00CE5CFA">
        <w:trPr>
          <w:trHeight w:val="567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D12A0A" w14:textId="0A827C1F" w:rsidR="00FE5F89" w:rsidRPr="00CE5CFA" w:rsidRDefault="00CE5CFA" w:rsidP="00CE5CFA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C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1ADF1" w14:textId="77777777" w:rsidR="00FE5F89" w:rsidRDefault="00FE5F89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44468658" w14:textId="3011D7D4" w:rsidR="00CE5CFA" w:rsidRPr="00CE5CFA" w:rsidRDefault="00CE5CFA" w:rsidP="00BF6C7F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72D4B301" w14:textId="5AF7E1F0" w:rsidR="00BF6C7F" w:rsidRPr="0043484E" w:rsidRDefault="001611D6" w:rsidP="00BF6C7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348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</w:t>
      </w:r>
      <w:r w:rsidR="005312D5" w:rsidRPr="0043484E"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 w:rsidR="005312D5" w:rsidRPr="0043484E"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eq \o\ac(</w:instrText>
      </w:r>
      <w:r w:rsidR="005312D5" w:rsidRPr="0043484E">
        <w:rPr>
          <w:rFonts w:ascii="宋体" w:eastAsia="宋体" w:hAnsi="宋体" w:cs="宋体" w:hint="eastAsia"/>
          <w:color w:val="000000"/>
          <w:kern w:val="0"/>
          <w:position w:val="-5"/>
          <w:sz w:val="40"/>
          <w:szCs w:val="24"/>
        </w:rPr>
        <w:instrText>○</w:instrText>
      </w:r>
      <w:r w:rsidR="005312D5" w:rsidRPr="0043484E">
        <w:rPr>
          <w:rFonts w:ascii="宋体" w:eastAsia="宋体" w:hAnsi="宋体" w:cs="宋体"/>
          <w:color w:val="000000"/>
          <w:kern w:val="0"/>
          <w:sz w:val="24"/>
          <w:szCs w:val="24"/>
        </w:rPr>
        <w:instrText>,1)</w:instrText>
      </w:r>
      <w:r w:rsidR="005312D5" w:rsidRPr="0043484E"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5312D5" w:rsidRPr="004348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</w:t>
      </w:r>
      <w:proofErr w:type="gramStart"/>
      <w:r w:rsidR="005312D5" w:rsidRPr="004348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原考核</w:t>
      </w:r>
      <w:proofErr w:type="gramEnd"/>
      <w:r w:rsidR="005312D5" w:rsidRPr="004348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方式为考试，成绩由平时成绩和期末成绩组成。</w:t>
      </w:r>
    </w:p>
    <w:sectPr w:rsidR="00BF6C7F" w:rsidRPr="0043484E" w:rsidSect="00CE5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5167F" w14:textId="77777777" w:rsidR="00511392" w:rsidRDefault="00511392" w:rsidP="00623275">
      <w:r>
        <w:separator/>
      </w:r>
    </w:p>
  </w:endnote>
  <w:endnote w:type="continuationSeparator" w:id="0">
    <w:p w14:paraId="5B77EB29" w14:textId="77777777" w:rsidR="00511392" w:rsidRDefault="00511392" w:rsidP="0062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E1B88" w14:textId="77777777" w:rsidR="00511392" w:rsidRDefault="00511392" w:rsidP="00623275">
      <w:r>
        <w:separator/>
      </w:r>
    </w:p>
  </w:footnote>
  <w:footnote w:type="continuationSeparator" w:id="0">
    <w:p w14:paraId="1CB46C35" w14:textId="77777777" w:rsidR="00511392" w:rsidRDefault="00511392" w:rsidP="0062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EB2"/>
    <w:rsid w:val="00056FA5"/>
    <w:rsid w:val="001611D6"/>
    <w:rsid w:val="00166812"/>
    <w:rsid w:val="0018772D"/>
    <w:rsid w:val="001C58C4"/>
    <w:rsid w:val="00203EB2"/>
    <w:rsid w:val="002062C0"/>
    <w:rsid w:val="0025518D"/>
    <w:rsid w:val="002E1646"/>
    <w:rsid w:val="002E17EF"/>
    <w:rsid w:val="0036316D"/>
    <w:rsid w:val="0043484E"/>
    <w:rsid w:val="00495BEC"/>
    <w:rsid w:val="00511392"/>
    <w:rsid w:val="005247FB"/>
    <w:rsid w:val="005312D5"/>
    <w:rsid w:val="00623275"/>
    <w:rsid w:val="0078432B"/>
    <w:rsid w:val="0084416C"/>
    <w:rsid w:val="0088211C"/>
    <w:rsid w:val="00895C13"/>
    <w:rsid w:val="009776E8"/>
    <w:rsid w:val="009C2EC2"/>
    <w:rsid w:val="00AE6AC4"/>
    <w:rsid w:val="00BF6C7F"/>
    <w:rsid w:val="00C72C06"/>
    <w:rsid w:val="00CA7E24"/>
    <w:rsid w:val="00CE5CFA"/>
    <w:rsid w:val="00D02025"/>
    <w:rsid w:val="00E34C16"/>
    <w:rsid w:val="00E4042A"/>
    <w:rsid w:val="00E50C43"/>
    <w:rsid w:val="00F27B7F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BC73B"/>
  <w15:docId w15:val="{1A029A69-DCFA-4213-95D8-B5CAA45F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EB2"/>
    <w:rPr>
      <w:b/>
      <w:bCs/>
    </w:rPr>
  </w:style>
  <w:style w:type="paragraph" w:styleId="a4">
    <w:name w:val="List Paragraph"/>
    <w:basedOn w:val="a"/>
    <w:uiPriority w:val="34"/>
    <w:qFormat/>
    <w:rsid w:val="00203EB2"/>
    <w:pPr>
      <w:ind w:firstLineChars="200" w:firstLine="420"/>
    </w:pPr>
  </w:style>
  <w:style w:type="paragraph" w:styleId="a5">
    <w:name w:val="Date"/>
    <w:basedOn w:val="a"/>
    <w:next w:val="a"/>
    <w:link w:val="a6"/>
    <w:uiPriority w:val="99"/>
    <w:semiHidden/>
    <w:unhideWhenUsed/>
    <w:rsid w:val="00BF6C7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BF6C7F"/>
  </w:style>
  <w:style w:type="table" w:styleId="a7">
    <w:name w:val="Table Grid"/>
    <w:basedOn w:val="a1"/>
    <w:uiPriority w:val="39"/>
    <w:rsid w:val="00FE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2327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23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23275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62327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232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6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>Lenovo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周红霞</dc:creator>
  <cp:lastModifiedBy>周红霞</cp:lastModifiedBy>
  <cp:revision>6</cp:revision>
  <dcterms:created xsi:type="dcterms:W3CDTF">2020-04-21T04:03:00Z</dcterms:created>
  <dcterms:modified xsi:type="dcterms:W3CDTF">2020-04-21T04:53:00Z</dcterms:modified>
</cp:coreProperties>
</file>